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A90B2" w14:textId="77777777" w:rsidR="00991C1D" w:rsidRDefault="00991C1D" w:rsidP="00991C1D">
      <w:pPr>
        <w:pStyle w:val="NormalWeb"/>
        <w:shd w:val="clear" w:color="auto" w:fill="FFFFFF"/>
        <w:rPr>
          <w:color w:val="323130"/>
          <w:lang w:val="en-AU"/>
        </w:rPr>
      </w:pPr>
      <w:r>
        <w:rPr>
          <w:rFonts w:ascii="Calibri" w:hAnsi="Calibri" w:cs="Calibri"/>
          <w:b/>
          <w:bCs/>
          <w:color w:val="323130"/>
          <w:sz w:val="26"/>
          <w:szCs w:val="26"/>
          <w:lang w:val="en-AU"/>
        </w:rPr>
        <w:t> </w:t>
      </w:r>
    </w:p>
    <w:tbl>
      <w:tblPr>
        <w:tblW w:w="11048" w:type="dxa"/>
        <w:shd w:val="clear" w:color="auto" w:fill="FFFFFF"/>
        <w:tblCellMar>
          <w:left w:w="0" w:type="dxa"/>
          <w:right w:w="0" w:type="dxa"/>
        </w:tblCellMar>
        <w:tblLook w:val="04A0" w:firstRow="1" w:lastRow="0" w:firstColumn="1" w:lastColumn="0" w:noHBand="0" w:noVBand="1"/>
      </w:tblPr>
      <w:tblGrid>
        <w:gridCol w:w="1919"/>
        <w:gridCol w:w="9129"/>
      </w:tblGrid>
      <w:tr w:rsidR="00991C1D" w14:paraId="3210DF1E" w14:textId="77777777" w:rsidTr="00991C1D">
        <w:trPr>
          <w:trHeight w:val="542"/>
        </w:trPr>
        <w:tc>
          <w:tcPr>
            <w:tcW w:w="19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2DC1FA" w14:textId="77777777" w:rsidR="00991C1D" w:rsidRDefault="00991C1D">
            <w:pPr>
              <w:pStyle w:val="NormalWeb"/>
              <w:rPr>
                <w:color w:val="323130"/>
              </w:rPr>
            </w:pPr>
            <w:r>
              <w:rPr>
                <w:rFonts w:ascii="Arial" w:hAnsi="Arial" w:cs="Arial"/>
                <w:b/>
                <w:bCs/>
                <w:color w:val="323130"/>
                <w:sz w:val="20"/>
                <w:szCs w:val="20"/>
              </w:rPr>
              <w:t>When  </w:t>
            </w:r>
            <w:r>
              <w:rPr>
                <w:rFonts w:ascii="Arial" w:hAnsi="Arial" w:cs="Arial"/>
                <w:color w:val="323130"/>
                <w:sz w:val="20"/>
                <w:szCs w:val="20"/>
              </w:rPr>
              <w:t> </w:t>
            </w:r>
          </w:p>
        </w:tc>
        <w:tc>
          <w:tcPr>
            <w:tcW w:w="91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37747F9" w14:textId="77777777" w:rsidR="00991C1D" w:rsidRDefault="00991C1D">
            <w:pPr>
              <w:pStyle w:val="NormalWeb"/>
              <w:rPr>
                <w:color w:val="323130"/>
              </w:rPr>
            </w:pPr>
            <w:r>
              <w:rPr>
                <w:rFonts w:ascii="Arial" w:hAnsi="Arial" w:cs="Arial"/>
                <w:color w:val="323130"/>
                <w:sz w:val="20"/>
                <w:szCs w:val="20"/>
              </w:rPr>
              <w:t>Wednesday 26 October 2022, 12.30-1.30pm AEDT</w:t>
            </w:r>
          </w:p>
        </w:tc>
      </w:tr>
      <w:tr w:rsidR="00991C1D" w14:paraId="18652086" w14:textId="77777777" w:rsidTr="00991C1D">
        <w:trPr>
          <w:trHeight w:val="560"/>
        </w:trPr>
        <w:tc>
          <w:tcPr>
            <w:tcW w:w="19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4C5C90" w14:textId="77777777" w:rsidR="00991C1D" w:rsidRDefault="00991C1D">
            <w:pPr>
              <w:pStyle w:val="NormalWeb"/>
              <w:rPr>
                <w:color w:val="323130"/>
              </w:rPr>
            </w:pPr>
            <w:r>
              <w:rPr>
                <w:rFonts w:ascii="Arial" w:hAnsi="Arial" w:cs="Arial"/>
                <w:b/>
                <w:bCs/>
                <w:color w:val="323130"/>
                <w:sz w:val="20"/>
                <w:szCs w:val="20"/>
              </w:rPr>
              <w:t>Where</w:t>
            </w:r>
            <w:r>
              <w:rPr>
                <w:rFonts w:ascii="Calibri" w:hAnsi="Calibri" w:cs="Calibri"/>
                <w:b/>
                <w:bCs/>
                <w:color w:val="323130"/>
                <w:sz w:val="20"/>
                <w:szCs w:val="20"/>
              </w:rPr>
              <w:t> </w:t>
            </w:r>
          </w:p>
          <w:p w14:paraId="2887D1E9" w14:textId="77777777" w:rsidR="00991C1D" w:rsidRDefault="00991C1D">
            <w:pPr>
              <w:pStyle w:val="NormalWeb"/>
              <w:rPr>
                <w:color w:val="323130"/>
              </w:rPr>
            </w:pPr>
            <w:r>
              <w:rPr>
                <w:rFonts w:ascii="Calibri" w:hAnsi="Calibri" w:cs="Calibri"/>
                <w:b/>
                <w:bCs/>
                <w:color w:val="323130"/>
                <w:sz w:val="20"/>
                <w:szCs w:val="20"/>
              </w:rPr>
              <w:t> </w:t>
            </w:r>
          </w:p>
        </w:tc>
        <w:tc>
          <w:tcPr>
            <w:tcW w:w="9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8CAA10" w14:textId="77777777" w:rsidR="00991C1D" w:rsidRDefault="00991C1D">
            <w:pPr>
              <w:pStyle w:val="NormalWeb"/>
              <w:rPr>
                <w:color w:val="323130"/>
              </w:rPr>
            </w:pPr>
            <w:r>
              <w:rPr>
                <w:rFonts w:ascii="Arial" w:hAnsi="Arial" w:cs="Arial"/>
                <w:color w:val="323130"/>
                <w:sz w:val="20"/>
                <w:szCs w:val="20"/>
              </w:rPr>
              <w:t>Dual delivery</w:t>
            </w:r>
            <w:r>
              <w:rPr>
                <w:rFonts w:ascii="Calibri" w:hAnsi="Calibri" w:cs="Calibri"/>
                <w:color w:val="000000"/>
                <w:sz w:val="20"/>
                <w:szCs w:val="20"/>
              </w:rPr>
              <w:t xml:space="preserve">: Law Staffroom (UOW </w:t>
            </w:r>
            <w:proofErr w:type="spellStart"/>
            <w:r>
              <w:rPr>
                <w:rFonts w:ascii="Calibri" w:hAnsi="Calibri" w:cs="Calibri"/>
                <w:color w:val="000000"/>
                <w:sz w:val="20"/>
                <w:szCs w:val="20"/>
              </w:rPr>
              <w:t>bldg</w:t>
            </w:r>
            <w:proofErr w:type="spellEnd"/>
            <w:r>
              <w:rPr>
                <w:rFonts w:ascii="Calibri" w:hAnsi="Calibri" w:cs="Calibri"/>
                <w:color w:val="000000"/>
                <w:sz w:val="20"/>
                <w:szCs w:val="20"/>
              </w:rPr>
              <w:t xml:space="preserve"> 67, level 2) and Webex </w:t>
            </w:r>
            <w:hyperlink r:id="rId4" w:tgtFrame="_blank" w:history="1">
              <w:r>
                <w:rPr>
                  <w:rStyle w:val="Hyperlink"/>
                  <w:rFonts w:ascii="Arial" w:hAnsi="Arial" w:cs="Arial"/>
                  <w:color w:val="005E7D"/>
                  <w:sz w:val="21"/>
                  <w:szCs w:val="21"/>
                </w:rPr>
                <w:t>https://uow.webex.com/uow/j.php?MTID=m2bfac14ee620f84fd6d8b36163919dc6</w:t>
              </w:r>
            </w:hyperlink>
            <w:r>
              <w:rPr>
                <w:rFonts w:ascii="Calibri" w:hAnsi="Calibri" w:cs="Calibri"/>
                <w:color w:val="000000"/>
              </w:rPr>
              <w:t> </w:t>
            </w:r>
            <w:r>
              <w:rPr>
                <w:color w:val="323130"/>
              </w:rPr>
              <w:t xml:space="preserve"> </w:t>
            </w:r>
          </w:p>
        </w:tc>
      </w:tr>
      <w:tr w:rsidR="00991C1D" w14:paraId="0E587938" w14:textId="77777777" w:rsidTr="00991C1D">
        <w:trPr>
          <w:trHeight w:val="560"/>
        </w:trPr>
        <w:tc>
          <w:tcPr>
            <w:tcW w:w="19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9D8021" w14:textId="77777777" w:rsidR="00991C1D" w:rsidRDefault="00991C1D">
            <w:pPr>
              <w:pStyle w:val="NormalWeb"/>
              <w:rPr>
                <w:color w:val="323130"/>
              </w:rPr>
            </w:pPr>
            <w:r>
              <w:rPr>
                <w:rFonts w:ascii="Arial" w:hAnsi="Arial" w:cs="Arial"/>
                <w:b/>
                <w:bCs/>
                <w:color w:val="323130"/>
                <w:sz w:val="20"/>
                <w:szCs w:val="20"/>
              </w:rPr>
              <w:t>Speakers</w:t>
            </w:r>
          </w:p>
          <w:p w14:paraId="07496ED3" w14:textId="77777777" w:rsidR="00991C1D" w:rsidRDefault="00991C1D">
            <w:pPr>
              <w:pStyle w:val="NormalWeb"/>
              <w:rPr>
                <w:color w:val="323130"/>
              </w:rPr>
            </w:pPr>
            <w:r>
              <w:rPr>
                <w:rFonts w:ascii="Arial" w:hAnsi="Arial" w:cs="Arial"/>
                <w:color w:val="323130"/>
                <w:sz w:val="20"/>
                <w:szCs w:val="20"/>
              </w:rPr>
              <w:t> </w:t>
            </w:r>
          </w:p>
        </w:tc>
        <w:tc>
          <w:tcPr>
            <w:tcW w:w="9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2D3972" w14:textId="77777777" w:rsidR="00991C1D" w:rsidRDefault="00991C1D">
            <w:pPr>
              <w:rPr>
                <w:color w:val="323130"/>
              </w:rPr>
            </w:pPr>
            <w:r>
              <w:rPr>
                <w:rFonts w:ascii="Arial" w:hAnsi="Arial" w:cs="Arial"/>
                <w:color w:val="000000"/>
                <w:sz w:val="20"/>
                <w:szCs w:val="20"/>
                <w:shd w:val="clear" w:color="auto" w:fill="FFFFFF"/>
              </w:rPr>
              <w:t xml:space="preserve">Dr Niamh </w:t>
            </w:r>
            <w:proofErr w:type="spellStart"/>
            <w:r>
              <w:rPr>
                <w:rFonts w:ascii="Arial" w:hAnsi="Arial" w:cs="Arial"/>
                <w:color w:val="000000"/>
                <w:sz w:val="20"/>
                <w:szCs w:val="20"/>
                <w:shd w:val="clear" w:color="auto" w:fill="FFFFFF"/>
              </w:rPr>
              <w:t>Kinchin</w:t>
            </w:r>
            <w:proofErr w:type="spellEnd"/>
            <w:r>
              <w:rPr>
                <w:rFonts w:ascii="Arial" w:hAnsi="Arial" w:cs="Arial"/>
                <w:color w:val="000000"/>
                <w:sz w:val="20"/>
                <w:szCs w:val="20"/>
                <w:shd w:val="clear" w:color="auto" w:fill="FFFFFF"/>
              </w:rPr>
              <w:t xml:space="preserve"> and Dr Ryan Kernaghan, UOW</w:t>
            </w:r>
          </w:p>
          <w:p w14:paraId="0D018503" w14:textId="77777777" w:rsidR="00991C1D" w:rsidRDefault="00991C1D">
            <w:pPr>
              <w:pStyle w:val="NormalWeb"/>
              <w:rPr>
                <w:color w:val="323130"/>
              </w:rPr>
            </w:pPr>
            <w:r>
              <w:rPr>
                <w:rFonts w:ascii="Arial" w:hAnsi="Arial" w:cs="Arial"/>
                <w:color w:val="323130"/>
                <w:sz w:val="20"/>
                <w:szCs w:val="20"/>
              </w:rPr>
              <w:t> </w:t>
            </w:r>
          </w:p>
        </w:tc>
      </w:tr>
      <w:tr w:rsidR="00991C1D" w14:paraId="59B22BF2" w14:textId="77777777" w:rsidTr="00991C1D">
        <w:trPr>
          <w:trHeight w:val="560"/>
        </w:trPr>
        <w:tc>
          <w:tcPr>
            <w:tcW w:w="19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2F0480" w14:textId="77777777" w:rsidR="00991C1D" w:rsidRDefault="00991C1D">
            <w:pPr>
              <w:pStyle w:val="NormalWeb"/>
              <w:rPr>
                <w:color w:val="323130"/>
              </w:rPr>
            </w:pPr>
            <w:r>
              <w:rPr>
                <w:rFonts w:ascii="Arial" w:hAnsi="Arial" w:cs="Arial"/>
                <w:b/>
                <w:bCs/>
                <w:color w:val="000000"/>
                <w:sz w:val="20"/>
                <w:szCs w:val="20"/>
              </w:rPr>
              <w:t>Title </w:t>
            </w:r>
          </w:p>
          <w:p w14:paraId="6DCC9450" w14:textId="77777777" w:rsidR="00991C1D" w:rsidRDefault="00991C1D">
            <w:pPr>
              <w:pStyle w:val="NormalWeb"/>
              <w:rPr>
                <w:color w:val="323130"/>
              </w:rPr>
            </w:pPr>
            <w:r>
              <w:rPr>
                <w:rFonts w:ascii="Arial" w:hAnsi="Arial" w:cs="Arial"/>
                <w:color w:val="000000"/>
                <w:sz w:val="20"/>
                <w:szCs w:val="20"/>
              </w:rPr>
              <w:t> </w:t>
            </w:r>
          </w:p>
        </w:tc>
        <w:tc>
          <w:tcPr>
            <w:tcW w:w="9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62BDF7" w14:textId="77777777" w:rsidR="00991C1D" w:rsidRDefault="00991C1D">
            <w:pPr>
              <w:pStyle w:val="NormalWeb"/>
              <w:shd w:val="clear" w:color="auto" w:fill="FFFFFF"/>
              <w:rPr>
                <w:color w:val="201F1E"/>
              </w:rPr>
            </w:pPr>
            <w:r>
              <w:rPr>
                <w:rFonts w:ascii="Calibri" w:hAnsi="Calibri" w:cs="Calibri"/>
                <w:color w:val="000000"/>
                <w:sz w:val="20"/>
                <w:szCs w:val="20"/>
              </w:rPr>
              <w:t>"A Ghostly Presence": Dead Letters and the </w:t>
            </w:r>
            <w:r>
              <w:rPr>
                <w:rFonts w:ascii="Calibri" w:hAnsi="Calibri" w:cs="Calibri"/>
                <w:i/>
                <w:iCs/>
                <w:color w:val="000000"/>
                <w:sz w:val="20"/>
                <w:szCs w:val="20"/>
              </w:rPr>
              <w:t>Australian Constitution</w:t>
            </w:r>
          </w:p>
          <w:p w14:paraId="531EA524" w14:textId="77777777" w:rsidR="00991C1D" w:rsidRDefault="00991C1D">
            <w:pPr>
              <w:pStyle w:val="NormalWeb"/>
              <w:shd w:val="clear" w:color="auto" w:fill="FFFFFF"/>
              <w:rPr>
                <w:color w:val="201F1E"/>
              </w:rPr>
            </w:pPr>
            <w:r>
              <w:rPr>
                <w:rFonts w:ascii="Calibri" w:hAnsi="Calibri" w:cs="Calibri"/>
                <w:i/>
                <w:iCs/>
                <w:color w:val="000000"/>
                <w:sz w:val="20"/>
                <w:szCs w:val="20"/>
              </w:rPr>
              <w:t> </w:t>
            </w:r>
          </w:p>
        </w:tc>
      </w:tr>
      <w:tr w:rsidR="00991C1D" w14:paraId="02110B87" w14:textId="77777777" w:rsidTr="00991C1D">
        <w:trPr>
          <w:trHeight w:val="2960"/>
        </w:trPr>
        <w:tc>
          <w:tcPr>
            <w:tcW w:w="19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4CC2E6" w14:textId="77777777" w:rsidR="00991C1D" w:rsidRDefault="00991C1D">
            <w:pPr>
              <w:pStyle w:val="NormalWeb"/>
              <w:rPr>
                <w:color w:val="323130"/>
              </w:rPr>
            </w:pPr>
            <w:r>
              <w:rPr>
                <w:rFonts w:ascii="Arial" w:hAnsi="Arial" w:cs="Arial"/>
                <w:b/>
                <w:bCs/>
                <w:color w:val="000000"/>
                <w:sz w:val="20"/>
                <w:szCs w:val="20"/>
              </w:rPr>
              <w:t>Abstract </w:t>
            </w:r>
          </w:p>
        </w:tc>
        <w:tc>
          <w:tcPr>
            <w:tcW w:w="9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DDBF2E" w14:textId="77777777" w:rsidR="00991C1D" w:rsidRDefault="00991C1D">
            <w:pPr>
              <w:pStyle w:val="NormalWeb"/>
              <w:shd w:val="clear" w:color="auto" w:fill="FFFFFF"/>
              <w:rPr>
                <w:color w:val="201F1E"/>
              </w:rPr>
            </w:pPr>
            <w:r>
              <w:rPr>
                <w:rFonts w:ascii="Calibri" w:hAnsi="Calibri" w:cs="Calibri"/>
                <w:color w:val="000000"/>
                <w:sz w:val="20"/>
                <w:szCs w:val="20"/>
              </w:rPr>
              <w:t>An essential element of constitutionalism is understanding the history of a constitution. Rather than examining past events in isolation, a consideration of context that </w:t>
            </w:r>
            <w:r>
              <w:rPr>
                <w:rFonts w:ascii="Calibri" w:hAnsi="Calibri" w:cs="Calibri"/>
                <w:i/>
                <w:iCs/>
                <w:color w:val="1F497D"/>
                <w:sz w:val="20"/>
                <w:szCs w:val="20"/>
              </w:rPr>
              <w:t>develops</w:t>
            </w:r>
            <w:r>
              <w:rPr>
                <w:rFonts w:ascii="Calibri" w:hAnsi="Calibri" w:cs="Calibri"/>
                <w:color w:val="000000"/>
                <w:sz w:val="20"/>
                <w:szCs w:val="20"/>
              </w:rPr>
              <w:t> and </w:t>
            </w:r>
            <w:r>
              <w:rPr>
                <w:rFonts w:ascii="Calibri" w:hAnsi="Calibri" w:cs="Calibri"/>
                <w:i/>
                <w:iCs/>
                <w:color w:val="1F497D"/>
                <w:sz w:val="20"/>
                <w:szCs w:val="20"/>
              </w:rPr>
              <w:t>lives</w:t>
            </w:r>
            <w:r>
              <w:rPr>
                <w:rFonts w:ascii="Calibri" w:hAnsi="Calibri" w:cs="Calibri"/>
                <w:color w:val="000000"/>
                <w:sz w:val="20"/>
                <w:szCs w:val="20"/>
              </w:rPr>
              <w:t>,</w:t>
            </w:r>
            <w:r>
              <w:rPr>
                <w:rFonts w:ascii="Calibri" w:hAnsi="Calibri" w:cs="Calibri"/>
                <w:i/>
                <w:iCs/>
                <w:color w:val="1F497D"/>
                <w:sz w:val="20"/>
                <w:szCs w:val="20"/>
              </w:rPr>
              <w:t> </w:t>
            </w:r>
            <w:r>
              <w:rPr>
                <w:rFonts w:ascii="Calibri" w:hAnsi="Calibri" w:cs="Calibri"/>
                <w:color w:val="000000"/>
                <w:sz w:val="20"/>
                <w:szCs w:val="20"/>
              </w:rPr>
              <w:t>rather than </w:t>
            </w:r>
            <w:r>
              <w:rPr>
                <w:rFonts w:ascii="Calibri" w:hAnsi="Calibri" w:cs="Calibri"/>
                <w:i/>
                <w:iCs/>
                <w:color w:val="1F497D"/>
                <w:sz w:val="20"/>
                <w:szCs w:val="20"/>
              </w:rPr>
              <w:t>stagnates</w:t>
            </w:r>
            <w:r>
              <w:rPr>
                <w:rFonts w:ascii="Calibri" w:hAnsi="Calibri" w:cs="Calibri"/>
                <w:color w:val="000000"/>
                <w:sz w:val="20"/>
                <w:szCs w:val="20"/>
              </w:rPr>
              <w:t> and </w:t>
            </w:r>
            <w:r>
              <w:rPr>
                <w:rFonts w:ascii="Calibri" w:hAnsi="Calibri" w:cs="Calibri"/>
                <w:i/>
                <w:iCs/>
                <w:color w:val="1F497D"/>
                <w:sz w:val="20"/>
                <w:szCs w:val="20"/>
              </w:rPr>
              <w:t>dies </w:t>
            </w:r>
            <w:r>
              <w:rPr>
                <w:rFonts w:ascii="Calibri" w:hAnsi="Calibri" w:cs="Calibri"/>
                <w:color w:val="000000"/>
                <w:sz w:val="20"/>
                <w:szCs w:val="20"/>
              </w:rPr>
              <w:t>on a constitution’s original meaning, is important. That history and context provides stories that tell us as much about a nation’s identity as it does about a constitutional section, chapter or principle in isolation. So, we suggest that a constitutional narrative around the ‘dead letter’ is about the beginning and the middle, rather than just the ends at which we find ourselves.</w:t>
            </w:r>
          </w:p>
          <w:p w14:paraId="1FFC2872" w14:textId="77777777" w:rsidR="00991C1D" w:rsidRDefault="00991C1D">
            <w:pPr>
              <w:pStyle w:val="NormalWeb"/>
              <w:shd w:val="clear" w:color="auto" w:fill="FFFFFF"/>
              <w:rPr>
                <w:color w:val="201F1E"/>
              </w:rPr>
            </w:pPr>
            <w:r>
              <w:rPr>
                <w:rFonts w:ascii="Calibri" w:hAnsi="Calibri" w:cs="Calibri"/>
                <w:color w:val="000000"/>
                <w:sz w:val="20"/>
                <w:szCs w:val="20"/>
              </w:rPr>
              <w:t>A ‘dead letter’ is a constitutional provision that has become obscure or redundant. Constitutional provisions become dead letters for various reasons, including legal interpretation, social influences and political factors. When constitutional provisions devolve into ‘dead letters’, they become </w:t>
            </w:r>
            <w:r>
              <w:rPr>
                <w:rFonts w:ascii="Calibri" w:hAnsi="Calibri" w:cs="Calibri"/>
                <w:i/>
                <w:iCs/>
                <w:color w:val="000000"/>
                <w:sz w:val="20"/>
                <w:szCs w:val="20"/>
              </w:rPr>
              <w:t>de facto</w:t>
            </w:r>
            <w:r>
              <w:rPr>
                <w:rFonts w:ascii="Calibri" w:hAnsi="Calibri" w:cs="Calibri"/>
                <w:color w:val="000000"/>
                <w:sz w:val="20"/>
                <w:szCs w:val="20"/>
              </w:rPr>
              <w:t> redundant without </w:t>
            </w:r>
            <w:r>
              <w:rPr>
                <w:rFonts w:ascii="Calibri" w:hAnsi="Calibri" w:cs="Calibri"/>
                <w:i/>
                <w:iCs/>
                <w:color w:val="000000"/>
                <w:sz w:val="20"/>
                <w:szCs w:val="20"/>
              </w:rPr>
              <w:t>de jure</w:t>
            </w:r>
            <w:r>
              <w:rPr>
                <w:rFonts w:ascii="Calibri" w:hAnsi="Calibri" w:cs="Calibri"/>
                <w:color w:val="000000"/>
                <w:sz w:val="20"/>
                <w:szCs w:val="20"/>
              </w:rPr>
              <w:t> constitutional change, and are largely forgotten. When this happens, we lose more than constitutional meaning, stories that form part of the narrative of nation-building are also lost. These are stories of judicial disagreements, social upheavals, global developments and political machinations. In the Australian context, the most famous ‘dead letter’ of the past five years – the citizenship saga surrounding s 44 – reflects the extent to which ‘dead letters’, despite ostensibly dormant, continuously warn of their potential to unsettle assumptions about a </w:t>
            </w:r>
            <w:r>
              <w:rPr>
                <w:rFonts w:ascii="Calibri" w:hAnsi="Calibri" w:cs="Calibri"/>
                <w:i/>
                <w:iCs/>
                <w:color w:val="000000"/>
                <w:sz w:val="20"/>
                <w:szCs w:val="20"/>
              </w:rPr>
              <w:t>Constitution</w:t>
            </w:r>
            <w:r>
              <w:rPr>
                <w:rFonts w:ascii="Calibri" w:hAnsi="Calibri" w:cs="Calibri"/>
                <w:color w:val="000000"/>
                <w:sz w:val="20"/>
                <w:szCs w:val="20"/>
              </w:rPr>
              <w:t> and its role in law and politics.</w:t>
            </w:r>
          </w:p>
          <w:p w14:paraId="27A86400" w14:textId="77777777" w:rsidR="00991C1D" w:rsidRDefault="00991C1D">
            <w:pPr>
              <w:pStyle w:val="NormalWeb"/>
              <w:shd w:val="clear" w:color="auto" w:fill="FFFFFF"/>
              <w:rPr>
                <w:color w:val="201F1E"/>
              </w:rPr>
            </w:pPr>
            <w:r>
              <w:rPr>
                <w:rFonts w:ascii="Calibri" w:hAnsi="Calibri" w:cs="Calibri"/>
                <w:color w:val="000000"/>
                <w:sz w:val="20"/>
                <w:szCs w:val="20"/>
              </w:rPr>
              <w:t>By analysing interpretations by the High Court, in addition to the </w:t>
            </w:r>
            <w:r>
              <w:rPr>
                <w:rFonts w:ascii="Calibri" w:hAnsi="Calibri" w:cs="Calibri"/>
                <w:i/>
                <w:iCs/>
                <w:color w:val="000000"/>
                <w:sz w:val="20"/>
                <w:szCs w:val="20"/>
              </w:rPr>
              <w:t>Australian Constitution</w:t>
            </w:r>
            <w:r>
              <w:rPr>
                <w:rFonts w:ascii="Calibri" w:hAnsi="Calibri" w:cs="Calibri"/>
                <w:color w:val="000000"/>
                <w:sz w:val="20"/>
                <w:szCs w:val="20"/>
              </w:rPr>
              <w:t xml:space="preserve">’s political, cultural, historical and international contexts, especially in light of human rights, we ask the question: is there life to be breathed into the redundant? To coin a phrase from Justice Stephen </w:t>
            </w:r>
            <w:proofErr w:type="spellStart"/>
            <w:r>
              <w:rPr>
                <w:rFonts w:ascii="Calibri" w:hAnsi="Calibri" w:cs="Calibri"/>
                <w:color w:val="000000"/>
                <w:sz w:val="20"/>
                <w:szCs w:val="20"/>
              </w:rPr>
              <w:t>Gageler</w:t>
            </w:r>
            <w:proofErr w:type="spellEnd"/>
            <w:r>
              <w:rPr>
                <w:rFonts w:ascii="Calibri" w:hAnsi="Calibri" w:cs="Calibri"/>
                <w:color w:val="000000"/>
                <w:sz w:val="20"/>
                <w:szCs w:val="20"/>
              </w:rPr>
              <w:t>, constitutional ‘dead letters’ end up exerting a ‘ghostly presence’ in the </w:t>
            </w:r>
            <w:r>
              <w:rPr>
                <w:rFonts w:ascii="Calibri" w:hAnsi="Calibri" w:cs="Calibri"/>
                <w:i/>
                <w:iCs/>
                <w:color w:val="000000"/>
                <w:sz w:val="20"/>
                <w:szCs w:val="20"/>
              </w:rPr>
              <w:t>Constitution</w:t>
            </w:r>
            <w:r>
              <w:rPr>
                <w:rFonts w:ascii="Calibri" w:hAnsi="Calibri" w:cs="Calibri"/>
                <w:color w:val="000000"/>
                <w:sz w:val="20"/>
                <w:szCs w:val="20"/>
              </w:rPr>
              <w:t>. It is this ghostly presence and their rich stories, long forgotten and waiting to see the light of day again, that we seek to tell.</w:t>
            </w:r>
          </w:p>
        </w:tc>
      </w:tr>
    </w:tbl>
    <w:p w14:paraId="237216E2" w14:textId="77777777" w:rsidR="00BE739F" w:rsidRDefault="00BE739F"/>
    <w:sectPr w:rsidR="00BE739F" w:rsidSect="00991C1D">
      <w:pgSz w:w="16838" w:h="11906" w:orient="landscape"/>
      <w:pgMar w:top="1440" w:right="1440" w:bottom="1440" w:left="1440" w:header="709" w:footer="709"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991C1D"/>
    <w:rsid w:val="00026838"/>
    <w:rsid w:val="000734CC"/>
    <w:rsid w:val="0007449A"/>
    <w:rsid w:val="000C1D4B"/>
    <w:rsid w:val="0010107A"/>
    <w:rsid w:val="001728C2"/>
    <w:rsid w:val="001B2E87"/>
    <w:rsid w:val="002330C0"/>
    <w:rsid w:val="002445E7"/>
    <w:rsid w:val="00246DEE"/>
    <w:rsid w:val="002C059E"/>
    <w:rsid w:val="002C202B"/>
    <w:rsid w:val="00302528"/>
    <w:rsid w:val="00383430"/>
    <w:rsid w:val="00403AA6"/>
    <w:rsid w:val="00407101"/>
    <w:rsid w:val="0041375D"/>
    <w:rsid w:val="00425C7D"/>
    <w:rsid w:val="00436C22"/>
    <w:rsid w:val="005165AD"/>
    <w:rsid w:val="00521F6E"/>
    <w:rsid w:val="005816D2"/>
    <w:rsid w:val="005D1540"/>
    <w:rsid w:val="00630446"/>
    <w:rsid w:val="006B023A"/>
    <w:rsid w:val="006F5380"/>
    <w:rsid w:val="00765E73"/>
    <w:rsid w:val="00783C7B"/>
    <w:rsid w:val="007A507D"/>
    <w:rsid w:val="0082274E"/>
    <w:rsid w:val="00823D44"/>
    <w:rsid w:val="00874192"/>
    <w:rsid w:val="00893C70"/>
    <w:rsid w:val="008B43DA"/>
    <w:rsid w:val="008C006F"/>
    <w:rsid w:val="008D32FC"/>
    <w:rsid w:val="00941ACF"/>
    <w:rsid w:val="00991C1D"/>
    <w:rsid w:val="009C3F22"/>
    <w:rsid w:val="00A21742"/>
    <w:rsid w:val="00A24007"/>
    <w:rsid w:val="00A75817"/>
    <w:rsid w:val="00A82D37"/>
    <w:rsid w:val="00A9701B"/>
    <w:rsid w:val="00AA43BE"/>
    <w:rsid w:val="00AB5425"/>
    <w:rsid w:val="00AB6CEE"/>
    <w:rsid w:val="00B3400A"/>
    <w:rsid w:val="00B50357"/>
    <w:rsid w:val="00B654DF"/>
    <w:rsid w:val="00BE739F"/>
    <w:rsid w:val="00BF1709"/>
    <w:rsid w:val="00BF1CD9"/>
    <w:rsid w:val="00C769D0"/>
    <w:rsid w:val="00CD6FC3"/>
    <w:rsid w:val="00D56911"/>
    <w:rsid w:val="00DC3001"/>
    <w:rsid w:val="00E02996"/>
    <w:rsid w:val="00E11673"/>
    <w:rsid w:val="00E2169F"/>
    <w:rsid w:val="00E30C7D"/>
    <w:rsid w:val="00F448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F8C2"/>
  <w15:chartTrackingRefBased/>
  <w15:docId w15:val="{2C4B8D86-BAA3-4686-AA18-B6ED6B8C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1C1D"/>
    <w:rPr>
      <w:color w:val="0563C1"/>
      <w:u w:val="single"/>
    </w:rPr>
  </w:style>
  <w:style w:type="paragraph" w:styleId="NormalWeb">
    <w:name w:val="Normal (Web)"/>
    <w:basedOn w:val="Normal"/>
    <w:uiPriority w:val="99"/>
    <w:semiHidden/>
    <w:unhideWhenUsed/>
    <w:rsid w:val="00991C1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ow.webex.com/uow/j.php?MTID=m2bfac14ee620f84fd6d8b36163919dc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Selwood</dc:creator>
  <cp:keywords/>
  <dc:description/>
  <cp:lastModifiedBy>Marie Selwood</cp:lastModifiedBy>
  <cp:revision>1</cp:revision>
  <dcterms:created xsi:type="dcterms:W3CDTF">2022-09-15T11:12:00Z</dcterms:created>
  <dcterms:modified xsi:type="dcterms:W3CDTF">2022-09-15T11:12:00Z</dcterms:modified>
</cp:coreProperties>
</file>