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D925" w14:textId="77777777" w:rsidR="007648AB" w:rsidRPr="007648AB" w:rsidRDefault="007648AB" w:rsidP="007648AB">
      <w:pPr>
        <w:spacing w:before="100" w:beforeAutospacing="1" w:after="100" w:afterAutospacing="1"/>
        <w:outlineLvl w:val="2"/>
        <w:rPr>
          <w:rFonts w:ascii="Lato" w:hAnsi="Lato"/>
          <w:b/>
          <w:bCs/>
          <w:color w:val="0D0C0C"/>
          <w:sz w:val="27"/>
          <w:szCs w:val="27"/>
        </w:rPr>
      </w:pPr>
      <w:r w:rsidRPr="007648AB">
        <w:rPr>
          <w:rFonts w:ascii="Lato" w:hAnsi="Lato"/>
          <w:b/>
          <w:bCs/>
          <w:color w:val="0D0C0C"/>
          <w:sz w:val="27"/>
          <w:szCs w:val="27"/>
        </w:rPr>
        <w:t>Provisional schedule</w:t>
      </w:r>
    </w:p>
    <w:p w14:paraId="48871C75" w14:textId="77777777" w:rsidR="007648AB" w:rsidRPr="007648AB" w:rsidRDefault="007648AB" w:rsidP="007648AB">
      <w:pPr>
        <w:spacing w:before="100" w:beforeAutospacing="1" w:after="100" w:afterAutospacing="1"/>
        <w:rPr>
          <w:rFonts w:ascii="Arya" w:hAnsi="Arya"/>
          <w:color w:val="0D0C0C"/>
        </w:rPr>
      </w:pPr>
      <w:r w:rsidRPr="007648AB">
        <w:rPr>
          <w:rFonts w:ascii="Arya" w:hAnsi="Arya"/>
          <w:color w:val="0D0C0C"/>
        </w:rPr>
        <w:t>Please note that the order and precise times of individual workshops may be subject to minor changes.</w:t>
      </w:r>
    </w:p>
    <w:p w14:paraId="025BA14E" w14:textId="6ACB4FE5" w:rsidR="007648AB" w:rsidRPr="007648AB" w:rsidRDefault="007648AB" w:rsidP="007648AB">
      <w:pPr>
        <w:spacing w:before="100" w:beforeAutospacing="1" w:after="100" w:afterAutospacing="1"/>
        <w:rPr>
          <w:rFonts w:ascii="Arya" w:hAnsi="Arya"/>
          <w:color w:val="0D0C0C"/>
        </w:rPr>
      </w:pPr>
      <w:r>
        <w:rPr>
          <w:rFonts w:ascii="Arya" w:hAnsi="Arya"/>
          <w:b/>
          <w:bCs/>
          <w:color w:val="0D0C0C"/>
        </w:rPr>
        <w:t>Tuesday</w:t>
      </w:r>
      <w:r w:rsidRPr="007648AB">
        <w:rPr>
          <w:rFonts w:ascii="Arya" w:hAnsi="Arya"/>
          <w:b/>
          <w:bCs/>
          <w:color w:val="0D0C0C"/>
        </w:rPr>
        <w:t xml:space="preserve"> </w:t>
      </w:r>
      <w:r>
        <w:rPr>
          <w:rFonts w:ascii="Arya" w:hAnsi="Arya"/>
          <w:b/>
          <w:bCs/>
          <w:color w:val="0D0C0C"/>
        </w:rPr>
        <w:t>11</w:t>
      </w:r>
      <w:r w:rsidRPr="007648AB">
        <w:rPr>
          <w:rFonts w:ascii="Arya" w:hAnsi="Arya"/>
          <w:b/>
          <w:bCs/>
          <w:color w:val="0D0C0C"/>
        </w:rPr>
        <w:t xml:space="preserve"> January 202</w:t>
      </w:r>
      <w:r>
        <w:rPr>
          <w:rFonts w:ascii="Arya" w:hAnsi="Arya"/>
          <w:b/>
          <w:bCs/>
          <w:color w:val="0D0C0C"/>
        </w:rPr>
        <w:t>2</w:t>
      </w:r>
    </w:p>
    <w:tbl>
      <w:tblPr>
        <w:tblW w:w="13290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5891"/>
        <w:gridCol w:w="6066"/>
      </w:tblGrid>
      <w:tr w:rsidR="00E40436" w:rsidRPr="007648AB" w14:paraId="2AC03D32" w14:textId="77777777" w:rsidTr="0015220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047D6ED" w14:textId="6A243F64" w:rsidR="00E40436" w:rsidRPr="007648AB" w:rsidRDefault="00E40436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 </w:t>
            </w:r>
            <w:r>
              <w:rPr>
                <w:rFonts w:ascii="Arya" w:hAnsi="Arya"/>
                <w:color w:val="0D0C0C"/>
              </w:rPr>
              <w:t>11:45-12:15</w:t>
            </w:r>
          </w:p>
        </w:tc>
        <w:tc>
          <w:tcPr>
            <w:tcW w:w="0" w:type="auto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E1F1DA0" w14:textId="5F66FCC3" w:rsidR="00E40436" w:rsidRPr="007648AB" w:rsidRDefault="00E40436" w:rsidP="00E40436">
            <w:pPr>
              <w:jc w:val="center"/>
              <w:rPr>
                <w:rFonts w:ascii="Arya" w:hAnsi="Arya"/>
                <w:color w:val="0D0C0C"/>
              </w:rPr>
            </w:pPr>
            <w:r>
              <w:rPr>
                <w:rFonts w:ascii="Arya" w:hAnsi="Arya"/>
                <w:color w:val="0D0C0C"/>
              </w:rPr>
              <w:t>Meet your SLSA PG Representatives</w:t>
            </w:r>
          </w:p>
        </w:tc>
      </w:tr>
      <w:tr w:rsidR="00E40436" w:rsidRPr="007648AB" w14:paraId="35C6CF68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</w:tcPr>
          <w:p w14:paraId="49027FD2" w14:textId="77777777" w:rsidR="00E40436" w:rsidRPr="007648AB" w:rsidRDefault="00E40436" w:rsidP="007648AB">
            <w:pPr>
              <w:rPr>
                <w:rFonts w:ascii="Arya" w:hAnsi="Arya"/>
                <w:color w:val="0D0C0C"/>
              </w:rPr>
            </w:pP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</w:tcPr>
          <w:p w14:paraId="7FEE74C0" w14:textId="0015EA9A" w:rsidR="00E40436" w:rsidRPr="007648AB" w:rsidRDefault="00E40436" w:rsidP="007648AB">
            <w:pPr>
              <w:rPr>
                <w:rFonts w:ascii="Arya" w:hAnsi="Arya"/>
                <w:b/>
                <w:bCs/>
                <w:color w:val="0D0C0C"/>
              </w:rPr>
            </w:pPr>
            <w:r w:rsidRPr="007648AB">
              <w:rPr>
                <w:rFonts w:ascii="Arya" w:hAnsi="Arya"/>
                <w:b/>
                <w:bCs/>
                <w:color w:val="0D0C0C"/>
              </w:rPr>
              <w:t>Group A</w:t>
            </w:r>
            <w:r w:rsidRPr="007648AB">
              <w:rPr>
                <w:rFonts w:ascii="Arya" w:hAnsi="Arya"/>
                <w:color w:val="0D0C0C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</w:tcPr>
          <w:p w14:paraId="7A01E54E" w14:textId="46833FC3" w:rsidR="00E40436" w:rsidRPr="007648AB" w:rsidRDefault="00E40436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Group B </w:t>
            </w:r>
          </w:p>
        </w:tc>
      </w:tr>
      <w:tr w:rsidR="00F1248D" w:rsidRPr="007648AB" w14:paraId="34C2E0E6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2BF8783D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12.30-13.45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7629842A" w14:textId="7B58287B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Conference posters</w:t>
            </w:r>
            <w:r w:rsidR="00910D85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910D85" w:rsidRPr="0096034D">
              <w:rPr>
                <w:rFonts w:ascii="Arya" w:hAnsi="Arya"/>
                <w:i/>
                <w:iCs/>
                <w:color w:val="0D0D0D" w:themeColor="text1" w:themeTint="F2"/>
              </w:rPr>
              <w:t>Caoimhe Kiernan &amp; Naomi Creutzfeldt</w:t>
            </w:r>
            <w:r w:rsidR="00910D85"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31C02E74" w14:textId="6EA1716C" w:rsidR="007648AB" w:rsidRPr="0096034D" w:rsidRDefault="00143269" w:rsidP="00143269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Getting published (</w:t>
            </w:r>
            <w:r w:rsidRPr="0096034D">
              <w:rPr>
                <w:rFonts w:ascii="Arya" w:hAnsi="Arya"/>
                <w:i/>
                <w:iCs/>
                <w:color w:val="0D0D0D" w:themeColor="text1" w:themeTint="F2"/>
              </w:rPr>
              <w:t>Dave Cowan &amp; Silvana Tapia Tapia</w:t>
            </w:r>
            <w:r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</w:tr>
      <w:tr w:rsidR="00F1248D" w:rsidRPr="007648AB" w14:paraId="0078097D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333A9958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14.00-15.15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6A198AE0" w14:textId="42D42677" w:rsidR="007648AB" w:rsidRPr="0096034D" w:rsidRDefault="00910D85" w:rsidP="00910D85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Getting published (</w:t>
            </w:r>
            <w:r w:rsidRPr="0096034D">
              <w:rPr>
                <w:rFonts w:ascii="Arya" w:hAnsi="Arya"/>
                <w:i/>
                <w:iCs/>
                <w:color w:val="0D0D0D" w:themeColor="text1" w:themeTint="F2"/>
              </w:rPr>
              <w:t>Dave Cowan &amp; Silvana Tapia Tapia</w:t>
            </w:r>
            <w:r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70F19F45" w14:textId="2A03F521" w:rsidR="007648AB" w:rsidRPr="0096034D" w:rsidRDefault="00910D85" w:rsidP="00143269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Getting a job (</w:t>
            </w:r>
            <w:r w:rsidRPr="0096034D">
              <w:rPr>
                <w:rFonts w:ascii="Arya" w:hAnsi="Arya"/>
                <w:i/>
                <w:iCs/>
                <w:color w:val="0D0D0D" w:themeColor="text1" w:themeTint="F2"/>
              </w:rPr>
              <w:t>Rosie Harding &amp;</w:t>
            </w:r>
            <w:r w:rsidR="00E80A48">
              <w:rPr>
                <w:rFonts w:ascii="Arya" w:hAnsi="Arya"/>
                <w:i/>
                <w:iCs/>
                <w:color w:val="0D0D0D" w:themeColor="text1" w:themeTint="F2"/>
              </w:rPr>
              <w:t xml:space="preserve"> Ed Kirton-Darling</w:t>
            </w:r>
            <w:r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</w:tr>
      <w:tr w:rsidR="00F1248D" w:rsidRPr="007648AB" w14:paraId="1B6AEEEC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810B7C9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15.15-16.00</w:t>
            </w:r>
          </w:p>
        </w:tc>
        <w:tc>
          <w:tcPr>
            <w:tcW w:w="0" w:type="auto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54675669" w14:textId="48D48C8E" w:rsidR="007648AB" w:rsidRPr="0096034D" w:rsidRDefault="007648AB" w:rsidP="0096034D">
            <w:pPr>
              <w:jc w:val="center"/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i/>
                <w:iCs/>
                <w:color w:val="0D0D0D" w:themeColor="text1" w:themeTint="F2"/>
              </w:rPr>
              <w:t>Break</w:t>
            </w:r>
          </w:p>
        </w:tc>
      </w:tr>
      <w:tr w:rsidR="00F1248D" w:rsidRPr="007648AB" w14:paraId="2BDD3C8F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705C9DC3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16.00-17.15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417285FE" w14:textId="063DE330" w:rsidR="00F1248D" w:rsidRPr="0096034D" w:rsidRDefault="007648AB" w:rsidP="00F1248D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Funding &amp; impact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>Rosemary Hunter &amp; Dave Cowan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  <w:p w14:paraId="2C1D2D5D" w14:textId="618B2C5A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7662156F" w14:textId="4F668D62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Conference papers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>Anne-Marie Greenslade &amp; Rosie Harding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</w:tr>
      <w:tr w:rsidR="00F1248D" w:rsidRPr="007648AB" w14:paraId="70AE2400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61690FE4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17.30-18.45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69384C8" w14:textId="487CB5CB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Conference papers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 xml:space="preserve">Anne-Marie Greenslade &amp; </w:t>
            </w:r>
            <w:r w:rsidR="00E80A48" w:rsidRPr="0096034D">
              <w:rPr>
                <w:rFonts w:ascii="Arya" w:hAnsi="Arya"/>
                <w:i/>
                <w:iCs/>
                <w:color w:val="0D0D0D" w:themeColor="text1" w:themeTint="F2"/>
              </w:rPr>
              <w:t>Flora Renz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FD5FC6A" w14:textId="79F27E83" w:rsidR="00F1248D" w:rsidRPr="0096034D" w:rsidRDefault="007648AB" w:rsidP="00F1248D">
            <w:pPr>
              <w:rPr>
                <w:rFonts w:ascii="Arya" w:hAnsi="Arya"/>
                <w:i/>
                <w:iCs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Funding &amp; impact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 xml:space="preserve"> 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>Rosemary Hunter &amp; Dave Cowan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  <w:p w14:paraId="3459B629" w14:textId="6F41323E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</w:p>
        </w:tc>
      </w:tr>
    </w:tbl>
    <w:p w14:paraId="7DFE05DA" w14:textId="77777777" w:rsidR="0096034D" w:rsidRDefault="0096034D" w:rsidP="007648AB">
      <w:pPr>
        <w:spacing w:before="100" w:beforeAutospacing="1" w:after="100" w:afterAutospacing="1"/>
        <w:rPr>
          <w:rFonts w:ascii="Arya" w:hAnsi="Arya"/>
          <w:b/>
          <w:bCs/>
          <w:color w:val="0D0C0C"/>
        </w:rPr>
      </w:pPr>
    </w:p>
    <w:p w14:paraId="73B6A11C" w14:textId="77777777" w:rsidR="0096034D" w:rsidRDefault="0096034D">
      <w:pPr>
        <w:rPr>
          <w:rFonts w:ascii="Arya" w:hAnsi="Arya"/>
          <w:b/>
          <w:bCs/>
          <w:color w:val="0D0C0C"/>
        </w:rPr>
      </w:pPr>
      <w:r>
        <w:rPr>
          <w:rFonts w:ascii="Arya" w:hAnsi="Arya"/>
          <w:b/>
          <w:bCs/>
          <w:color w:val="0D0C0C"/>
        </w:rPr>
        <w:br w:type="page"/>
      </w:r>
    </w:p>
    <w:p w14:paraId="417A492E" w14:textId="15337FB3" w:rsidR="007648AB" w:rsidRPr="007648AB" w:rsidRDefault="007648AB" w:rsidP="007648AB">
      <w:pPr>
        <w:spacing w:before="100" w:beforeAutospacing="1" w:after="100" w:afterAutospacing="1"/>
        <w:rPr>
          <w:rFonts w:ascii="Arya" w:hAnsi="Arya"/>
          <w:color w:val="0D0C0C"/>
        </w:rPr>
      </w:pPr>
      <w:r>
        <w:rPr>
          <w:rFonts w:ascii="Arya" w:hAnsi="Arya"/>
          <w:b/>
          <w:bCs/>
          <w:color w:val="0D0C0C"/>
        </w:rPr>
        <w:lastRenderedPageBreak/>
        <w:t>Wednesday 12</w:t>
      </w:r>
      <w:r w:rsidRPr="007648AB">
        <w:rPr>
          <w:rFonts w:ascii="Arya" w:hAnsi="Arya"/>
          <w:b/>
          <w:bCs/>
          <w:color w:val="0D0C0C"/>
        </w:rPr>
        <w:t xml:space="preserve"> January 202</w:t>
      </w:r>
      <w:r>
        <w:rPr>
          <w:rFonts w:ascii="Arya" w:hAnsi="Arya"/>
          <w:b/>
          <w:bCs/>
          <w:color w:val="0D0C0C"/>
        </w:rPr>
        <w:t>2</w:t>
      </w:r>
    </w:p>
    <w:tbl>
      <w:tblPr>
        <w:tblW w:w="13290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6030"/>
        <w:gridCol w:w="5980"/>
      </w:tblGrid>
      <w:tr w:rsidR="007648AB" w:rsidRPr="007648AB" w14:paraId="1A9E2383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0B563CF6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066D5547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b/>
                <w:bCs/>
                <w:color w:val="0D0C0C"/>
              </w:rPr>
              <w:t>Group A</w:t>
            </w:r>
            <w:r w:rsidRPr="007648AB">
              <w:rPr>
                <w:rFonts w:ascii="Arya" w:hAnsi="Arya"/>
                <w:color w:val="0D0C0C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2B6D4934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b/>
                <w:bCs/>
                <w:color w:val="0D0C0C"/>
              </w:rPr>
              <w:t>Group B</w:t>
            </w:r>
            <w:r w:rsidRPr="007648AB">
              <w:rPr>
                <w:rFonts w:ascii="Arya" w:hAnsi="Arya"/>
                <w:color w:val="0D0C0C"/>
              </w:rPr>
              <w:t> </w:t>
            </w:r>
          </w:p>
        </w:tc>
      </w:tr>
      <w:tr w:rsidR="007648AB" w:rsidRPr="007648AB" w14:paraId="74F8C9BC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3FC52757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14.00-15.15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09830AC7" w14:textId="0317B960" w:rsidR="007648AB" w:rsidRPr="0096034D" w:rsidRDefault="009E135D" w:rsidP="009E135D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Getting a job (</w:t>
            </w:r>
            <w:r w:rsidRPr="0096034D">
              <w:rPr>
                <w:rFonts w:ascii="Arya" w:hAnsi="Arya"/>
                <w:i/>
                <w:iCs/>
                <w:color w:val="0D0D0D" w:themeColor="text1" w:themeTint="F2"/>
              </w:rPr>
              <w:t>Rosie Harding &amp; Flora Renz</w:t>
            </w:r>
            <w:r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0341236D" w14:textId="40723F58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Research ethics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 xml:space="preserve">Rosemary Hunter &amp; </w:t>
            </w:r>
            <w:proofErr w:type="spellStart"/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>Andra</w:t>
            </w:r>
            <w:proofErr w:type="spellEnd"/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 xml:space="preserve"> le Roux-Kemp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</w:tr>
      <w:tr w:rsidR="007648AB" w:rsidRPr="007648AB" w14:paraId="1E0E463F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076039E6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15.45-17.00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778CBC13" w14:textId="77777777" w:rsidR="00F1248D" w:rsidRPr="0096034D" w:rsidRDefault="007648AB" w:rsidP="00F1248D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Supervising your supervisor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>Mike Adler &amp; Katherine Langley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  <w:p w14:paraId="1199D5B2" w14:textId="6D181990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46E92667" w14:textId="728A64C9" w:rsidR="00F1248D" w:rsidRPr="009E135D" w:rsidRDefault="007648AB" w:rsidP="00F1248D">
            <w:pPr>
              <w:rPr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</w:t>
            </w:r>
            <w:r w:rsidR="00143269" w:rsidRPr="0096034D">
              <w:rPr>
                <w:rFonts w:ascii="Arya" w:hAnsi="Arya"/>
                <w:color w:val="0D0D0D" w:themeColor="text1" w:themeTint="F2"/>
              </w:rPr>
              <w:t> </w:t>
            </w:r>
            <w:r w:rsidR="009E135D" w:rsidRPr="0096034D">
              <w:rPr>
                <w:rFonts w:ascii="Arya" w:hAnsi="Arya"/>
                <w:color w:val="0D0D0D" w:themeColor="text1" w:themeTint="F2"/>
              </w:rPr>
              <w:t>Conference posters (</w:t>
            </w:r>
            <w:r w:rsidR="009E135D" w:rsidRPr="0096034D">
              <w:rPr>
                <w:rFonts w:ascii="Arya" w:hAnsi="Arya"/>
                <w:i/>
                <w:iCs/>
                <w:color w:val="0D0D0D" w:themeColor="text1" w:themeTint="F2"/>
              </w:rPr>
              <w:t>Caoimhe Kiernan &amp; Naomi Creutzfeldt</w:t>
            </w:r>
            <w:r w:rsidR="009E135D" w:rsidRPr="0096034D">
              <w:rPr>
                <w:rFonts w:ascii="Arya" w:hAnsi="Arya"/>
                <w:color w:val="0D0D0D" w:themeColor="text1" w:themeTint="F2"/>
              </w:rPr>
              <w:t>)</w:t>
            </w:r>
          </w:p>
          <w:p w14:paraId="55A7B66D" w14:textId="79730FD7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</w:p>
        </w:tc>
      </w:tr>
      <w:tr w:rsidR="00DE3806" w:rsidRPr="007648AB" w14:paraId="14878966" w14:textId="77777777" w:rsidTr="00EC1FD0">
        <w:tc>
          <w:tcPr>
            <w:tcW w:w="0" w:type="auto"/>
            <w:gridSpan w:val="3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</w:tcPr>
          <w:p w14:paraId="36EBF0F4" w14:textId="2AD4C558" w:rsidR="00DE3806" w:rsidRPr="00DE3806" w:rsidRDefault="00DE3806" w:rsidP="00DE3806">
            <w:pPr>
              <w:jc w:val="center"/>
              <w:rPr>
                <w:rFonts w:ascii="Arya" w:hAnsi="Arya"/>
                <w:i/>
                <w:iCs/>
                <w:color w:val="0D0D0D" w:themeColor="text1" w:themeTint="F2"/>
              </w:rPr>
            </w:pPr>
            <w:r w:rsidRPr="00DE3806">
              <w:rPr>
                <w:rFonts w:ascii="Arya" w:hAnsi="Arya"/>
                <w:i/>
                <w:iCs/>
                <w:color w:val="0D0D0D" w:themeColor="text1" w:themeTint="F2"/>
              </w:rPr>
              <w:t>Break</w:t>
            </w:r>
          </w:p>
        </w:tc>
      </w:tr>
      <w:tr w:rsidR="007648AB" w:rsidRPr="007648AB" w14:paraId="54D8D3B6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24A99FC7" w14:textId="1F3BE80E" w:rsidR="007648AB" w:rsidRPr="00AC4475" w:rsidRDefault="007648AB" w:rsidP="007648AB">
            <w:pPr>
              <w:rPr>
                <w:rFonts w:ascii="Arya" w:hAnsi="Arya"/>
                <w:color w:val="0D0C0C"/>
              </w:rPr>
            </w:pPr>
            <w:r w:rsidRPr="00AC4475">
              <w:rPr>
                <w:rFonts w:ascii="Arya" w:hAnsi="Arya"/>
                <w:color w:val="0D0C0C"/>
              </w:rPr>
              <w:t>1</w:t>
            </w:r>
            <w:r w:rsidR="001F2971" w:rsidRPr="00AC4475">
              <w:rPr>
                <w:rFonts w:ascii="Arya" w:hAnsi="Arya"/>
                <w:color w:val="0D0C0C"/>
              </w:rPr>
              <w:t>8</w:t>
            </w:r>
            <w:r w:rsidRPr="00AC4475">
              <w:rPr>
                <w:rFonts w:ascii="Arya" w:hAnsi="Arya"/>
                <w:color w:val="0D0C0C"/>
              </w:rPr>
              <w:t>.</w:t>
            </w:r>
            <w:r w:rsidR="001F2971" w:rsidRPr="00AC4475">
              <w:rPr>
                <w:rFonts w:ascii="Arya" w:hAnsi="Arya"/>
                <w:color w:val="0D0C0C"/>
              </w:rPr>
              <w:t>00</w:t>
            </w:r>
            <w:r w:rsidRPr="00AC4475">
              <w:rPr>
                <w:rFonts w:ascii="Arya" w:hAnsi="Arya"/>
                <w:color w:val="0D0C0C"/>
              </w:rPr>
              <w:t>-1</w:t>
            </w:r>
            <w:r w:rsidR="001F2971" w:rsidRPr="00AC4475">
              <w:rPr>
                <w:rFonts w:ascii="Arya" w:hAnsi="Arya"/>
                <w:color w:val="0D0C0C"/>
              </w:rPr>
              <w:t>9</w:t>
            </w:r>
            <w:r w:rsidRPr="00AC4475">
              <w:rPr>
                <w:rFonts w:ascii="Arya" w:hAnsi="Arya"/>
                <w:color w:val="0D0C0C"/>
              </w:rPr>
              <w:t>.</w:t>
            </w:r>
            <w:r w:rsidR="001F2971" w:rsidRPr="00AC4475">
              <w:rPr>
                <w:rFonts w:ascii="Arya" w:hAnsi="Arya"/>
                <w:color w:val="0D0C0C"/>
              </w:rPr>
              <w:t>15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389071D" w14:textId="7C699AF3" w:rsidR="00F1248D" w:rsidRPr="0096034D" w:rsidRDefault="007648AB" w:rsidP="00F1248D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 Research ethics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 xml:space="preserve"> (</w:t>
            </w:r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 xml:space="preserve">Rosemary Hunter &amp; </w:t>
            </w:r>
            <w:proofErr w:type="spellStart"/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>Andra</w:t>
            </w:r>
            <w:proofErr w:type="spellEnd"/>
            <w:r w:rsidR="00F1248D" w:rsidRPr="0096034D">
              <w:rPr>
                <w:rFonts w:ascii="Arya" w:hAnsi="Arya"/>
                <w:i/>
                <w:iCs/>
                <w:color w:val="0D0D0D" w:themeColor="text1" w:themeTint="F2"/>
              </w:rPr>
              <w:t xml:space="preserve"> le Roux-Kemp</w:t>
            </w:r>
            <w:r w:rsidR="00F1248D" w:rsidRPr="0096034D">
              <w:rPr>
                <w:rFonts w:ascii="Arya" w:hAnsi="Arya"/>
                <w:color w:val="0D0D0D" w:themeColor="text1" w:themeTint="F2"/>
              </w:rPr>
              <w:t>)</w:t>
            </w:r>
          </w:p>
          <w:p w14:paraId="1A63544F" w14:textId="0AE2A46D" w:rsidR="007648AB" w:rsidRPr="0096034D" w:rsidRDefault="007648AB" w:rsidP="007648AB">
            <w:pPr>
              <w:rPr>
                <w:rFonts w:ascii="Arya" w:hAnsi="Arya"/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6FA62B52" w14:textId="55834503" w:rsidR="007648AB" w:rsidRPr="0096034D" w:rsidRDefault="00143269" w:rsidP="007648AB">
            <w:pPr>
              <w:rPr>
                <w:rFonts w:ascii="Arya" w:hAnsi="Arya"/>
                <w:color w:val="0D0D0D" w:themeColor="text1" w:themeTint="F2"/>
              </w:rPr>
            </w:pPr>
            <w:r w:rsidRPr="0096034D">
              <w:rPr>
                <w:rFonts w:ascii="Arya" w:hAnsi="Arya"/>
                <w:color w:val="0D0D0D" w:themeColor="text1" w:themeTint="F2"/>
              </w:rPr>
              <w:t>Supervising your supervisor (</w:t>
            </w:r>
            <w:r w:rsidRPr="0096034D">
              <w:rPr>
                <w:rFonts w:ascii="Arya" w:hAnsi="Arya"/>
                <w:i/>
                <w:iCs/>
                <w:color w:val="0D0D0D" w:themeColor="text1" w:themeTint="F2"/>
              </w:rPr>
              <w:t>Mike Adler &amp; Katherine Langley</w:t>
            </w:r>
            <w:r w:rsidRPr="0096034D">
              <w:rPr>
                <w:rFonts w:ascii="Arya" w:hAnsi="Arya"/>
                <w:color w:val="0D0D0D" w:themeColor="text1" w:themeTint="F2"/>
              </w:rPr>
              <w:t>)</w:t>
            </w:r>
          </w:p>
        </w:tc>
      </w:tr>
      <w:tr w:rsidR="007648AB" w:rsidRPr="007648AB" w14:paraId="2B67A8DE" w14:textId="77777777" w:rsidTr="007648AB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D3ECEC0" w14:textId="77777777" w:rsidR="007648AB" w:rsidRPr="007648AB" w:rsidRDefault="007648AB" w:rsidP="007648AB">
            <w:pPr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19.30-21.30</w:t>
            </w:r>
          </w:p>
        </w:tc>
        <w:tc>
          <w:tcPr>
            <w:tcW w:w="0" w:type="auto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0D8E693B" w14:textId="1302898D" w:rsidR="007648AB" w:rsidRPr="007648AB" w:rsidRDefault="007648AB" w:rsidP="0096034D">
            <w:pPr>
              <w:jc w:val="center"/>
              <w:rPr>
                <w:rFonts w:ascii="Arya" w:hAnsi="Arya"/>
                <w:color w:val="0D0C0C"/>
              </w:rPr>
            </w:pPr>
            <w:r w:rsidRPr="007648AB">
              <w:rPr>
                <w:rFonts w:ascii="Arya" w:hAnsi="Arya"/>
                <w:color w:val="0D0C0C"/>
              </w:rPr>
              <w:t>Plenary session and group discussions</w:t>
            </w:r>
          </w:p>
        </w:tc>
      </w:tr>
    </w:tbl>
    <w:p w14:paraId="42C61B79" w14:textId="77777777" w:rsidR="007648AB" w:rsidRPr="007648AB" w:rsidRDefault="007648AB" w:rsidP="007648AB"/>
    <w:p w14:paraId="288292EF" w14:textId="77777777" w:rsidR="00222817" w:rsidRDefault="00222817"/>
    <w:sectPr w:rsidR="00222817" w:rsidSect="007648A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ya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AB"/>
    <w:rsid w:val="00143269"/>
    <w:rsid w:val="001F2971"/>
    <w:rsid w:val="00222817"/>
    <w:rsid w:val="004A28E0"/>
    <w:rsid w:val="004A7A7E"/>
    <w:rsid w:val="0072496B"/>
    <w:rsid w:val="007648AB"/>
    <w:rsid w:val="00812E4D"/>
    <w:rsid w:val="00910D85"/>
    <w:rsid w:val="0096034D"/>
    <w:rsid w:val="009E135D"/>
    <w:rsid w:val="00A55504"/>
    <w:rsid w:val="00AC4475"/>
    <w:rsid w:val="00B77522"/>
    <w:rsid w:val="00BB1715"/>
    <w:rsid w:val="00C50858"/>
    <w:rsid w:val="00DE3806"/>
    <w:rsid w:val="00E40436"/>
    <w:rsid w:val="00E5334E"/>
    <w:rsid w:val="00E80A48"/>
    <w:rsid w:val="00F1248D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003E"/>
  <w15:chartTrackingRefBased/>
  <w15:docId w15:val="{1242AEFE-5B7A-B742-B811-4EE79BE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0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48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48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8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48AB"/>
    <w:rPr>
      <w:b/>
      <w:bCs/>
    </w:rPr>
  </w:style>
  <w:style w:type="character" w:styleId="Emphasis">
    <w:name w:val="Emphasis"/>
    <w:basedOn w:val="DefaultParagraphFont"/>
    <w:uiPriority w:val="20"/>
    <w:qFormat/>
    <w:rsid w:val="00764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Germain, Sabrina</dc:creator>
  <cp:keywords/>
  <dc:description/>
  <cp:lastModifiedBy>Germain, Sabrina</cp:lastModifiedBy>
  <cp:revision>4</cp:revision>
  <dcterms:created xsi:type="dcterms:W3CDTF">2022-01-05T20:27:00Z</dcterms:created>
  <dcterms:modified xsi:type="dcterms:W3CDTF">2022-01-11T14:11:00Z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81272c-73d6-4df8-b526-4ff3caa5cc57_Enabled">
    <vt:lpwstr>true</vt:lpwstr>
  </property>
  <property fmtid="{D5CDD505-2E9C-101B-9397-08002B2CF9AE}" pid="3" name="MSIP_Label_ce81272c-73d6-4df8-b526-4ff3caa5cc57_SetDate">
    <vt:lpwstr>2021-11-07T16:46:21Z</vt:lpwstr>
  </property>
  <property fmtid="{D5CDD505-2E9C-101B-9397-08002B2CF9AE}" pid="4" name="MSIP_Label_ce81272c-73d6-4df8-b526-4ff3caa5cc57_Method">
    <vt:lpwstr>Privileged</vt:lpwstr>
  </property>
  <property fmtid="{D5CDD505-2E9C-101B-9397-08002B2CF9AE}" pid="5" name="MSIP_Label_ce81272c-73d6-4df8-b526-4ff3caa5cc57_Name">
    <vt:lpwstr>Sensitive</vt:lpwstr>
  </property>
  <property fmtid="{D5CDD505-2E9C-101B-9397-08002B2CF9AE}" pid="6" name="MSIP_Label_ce81272c-73d6-4df8-b526-4ff3caa5cc57_SiteId">
    <vt:lpwstr>dd615949-5bd0-4da0-ac52-28ef8d336373</vt:lpwstr>
  </property>
  <property fmtid="{D5CDD505-2E9C-101B-9397-08002B2CF9AE}" pid="7" name="MSIP_Label_ce81272c-73d6-4df8-b526-4ff3caa5cc57_ActionId">
    <vt:lpwstr>eb622c56-3956-47bb-9bf2-64f1b8cbe3b0</vt:lpwstr>
  </property>
  <property fmtid="{D5CDD505-2E9C-101B-9397-08002B2CF9AE}" pid="8" name="MSIP_Label_ce81272c-73d6-4df8-b526-4ff3caa5cc57_ContentBits">
    <vt:lpwstr>0</vt:lpwstr>
  </property>
</Properties>
</file>