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CCD13" w14:textId="77777777" w:rsidR="008929A3" w:rsidRDefault="008929A3" w:rsidP="008929A3">
      <w:pPr>
        <w:pStyle w:val="elementtoproof"/>
        <w:shd w:val="clear" w:color="auto" w:fill="FFFFFF"/>
      </w:pPr>
      <w:r>
        <w:rPr>
          <w:color w:val="212121"/>
          <w:sz w:val="22"/>
          <w:szCs w:val="22"/>
        </w:rPr>
        <w:t>Dear colleagues,</w:t>
      </w:r>
    </w:p>
    <w:p w14:paraId="3793FA37" w14:textId="77777777" w:rsidR="008929A3" w:rsidRDefault="008929A3" w:rsidP="008929A3">
      <w:pPr>
        <w:pStyle w:val="elementtoproof"/>
        <w:shd w:val="clear" w:color="auto" w:fill="FFFFFF"/>
      </w:pPr>
      <w:r>
        <w:rPr>
          <w:color w:val="212121"/>
          <w:sz w:val="22"/>
          <w:szCs w:val="22"/>
        </w:rPr>
        <w:t> </w:t>
      </w:r>
    </w:p>
    <w:p w14:paraId="42F2DF2E" w14:textId="77777777" w:rsidR="008929A3" w:rsidRDefault="008929A3" w:rsidP="008929A3">
      <w:pPr>
        <w:pStyle w:val="elementtoproof"/>
        <w:shd w:val="clear" w:color="auto" w:fill="FFFFFF"/>
      </w:pPr>
      <w:r>
        <w:rPr>
          <w:color w:val="212121"/>
          <w:sz w:val="22"/>
          <w:szCs w:val="22"/>
        </w:rPr>
        <w:t>We are delighted to invite you to submit an abstract for an upcoming stream at the 2025 Critical Legal Conference (4</w:t>
      </w:r>
      <w:r>
        <w:rPr>
          <w:color w:val="212121"/>
          <w:sz w:val="22"/>
          <w:szCs w:val="22"/>
          <w:vertAlign w:val="superscript"/>
        </w:rPr>
        <w:t>th</w:t>
      </w:r>
      <w:r>
        <w:rPr>
          <w:color w:val="212121"/>
          <w:sz w:val="22"/>
          <w:szCs w:val="22"/>
        </w:rPr>
        <w:t>-6</w:t>
      </w:r>
      <w:r>
        <w:rPr>
          <w:color w:val="212121"/>
          <w:sz w:val="22"/>
          <w:szCs w:val="22"/>
          <w:vertAlign w:val="superscript"/>
        </w:rPr>
        <w:t>th</w:t>
      </w:r>
      <w:r>
        <w:rPr>
          <w:color w:val="212121"/>
          <w:sz w:val="22"/>
          <w:szCs w:val="22"/>
        </w:rPr>
        <w:t xml:space="preserve"> September, University of Exeter) on </w:t>
      </w:r>
      <w:r>
        <w:rPr>
          <w:i/>
          <w:iCs/>
          <w:color w:val="212121"/>
          <w:sz w:val="22"/>
          <w:szCs w:val="22"/>
        </w:rPr>
        <w:t xml:space="preserve">Law and Process </w:t>
      </w:r>
      <w:r>
        <w:rPr>
          <w:color w:val="212121"/>
          <w:sz w:val="22"/>
          <w:szCs w:val="22"/>
        </w:rPr>
        <w:t>(see below for stream description). </w:t>
      </w:r>
    </w:p>
    <w:p w14:paraId="7A68CFB5" w14:textId="77777777" w:rsidR="008929A3" w:rsidRDefault="008929A3" w:rsidP="008929A3">
      <w:pPr>
        <w:pStyle w:val="elementtoproof"/>
        <w:shd w:val="clear" w:color="auto" w:fill="FFFFFF"/>
      </w:pPr>
      <w:r>
        <w:rPr>
          <w:i/>
          <w:iCs/>
          <w:color w:val="212121"/>
          <w:sz w:val="22"/>
          <w:szCs w:val="22"/>
        </w:rPr>
        <w:t> </w:t>
      </w:r>
    </w:p>
    <w:p w14:paraId="21F55774" w14:textId="77777777" w:rsidR="008929A3" w:rsidRDefault="008929A3" w:rsidP="008929A3">
      <w:pPr>
        <w:pStyle w:val="elementtoproof"/>
        <w:shd w:val="clear" w:color="auto" w:fill="FFFFFF"/>
      </w:pPr>
      <w:r>
        <w:rPr>
          <w:color w:val="212121"/>
          <w:sz w:val="22"/>
          <w:szCs w:val="22"/>
        </w:rPr>
        <w:t xml:space="preserve">The deadline for submissions is </w:t>
      </w:r>
      <w:r>
        <w:rPr>
          <w:b/>
          <w:bCs/>
          <w:color w:val="212121"/>
          <w:sz w:val="22"/>
          <w:szCs w:val="22"/>
        </w:rPr>
        <w:t>1</w:t>
      </w:r>
      <w:r>
        <w:rPr>
          <w:b/>
          <w:bCs/>
          <w:color w:val="212121"/>
          <w:sz w:val="22"/>
          <w:szCs w:val="22"/>
          <w:vertAlign w:val="superscript"/>
        </w:rPr>
        <w:t>st</w:t>
      </w:r>
      <w:r>
        <w:rPr>
          <w:b/>
          <w:bCs/>
          <w:color w:val="212121"/>
          <w:sz w:val="22"/>
          <w:szCs w:val="22"/>
        </w:rPr>
        <w:t xml:space="preserve"> August 2025. </w:t>
      </w:r>
      <w:r>
        <w:rPr>
          <w:color w:val="212121"/>
          <w:sz w:val="22"/>
          <w:szCs w:val="22"/>
        </w:rPr>
        <w:t xml:space="preserve">The conference is </w:t>
      </w:r>
      <w:r>
        <w:rPr>
          <w:b/>
          <w:bCs/>
          <w:color w:val="212121"/>
          <w:sz w:val="22"/>
          <w:szCs w:val="22"/>
        </w:rPr>
        <w:t>in-person only. </w:t>
      </w:r>
    </w:p>
    <w:p w14:paraId="5C28CAFD" w14:textId="77777777" w:rsidR="008929A3" w:rsidRDefault="008929A3" w:rsidP="008929A3">
      <w:pPr>
        <w:pStyle w:val="elementtoproof"/>
        <w:shd w:val="clear" w:color="auto" w:fill="FFFFFF"/>
      </w:pPr>
      <w:r>
        <w:rPr>
          <w:color w:val="212121"/>
          <w:sz w:val="22"/>
          <w:szCs w:val="22"/>
        </w:rPr>
        <w:t> </w:t>
      </w:r>
    </w:p>
    <w:p w14:paraId="2400418D" w14:textId="77777777" w:rsidR="008929A3" w:rsidRDefault="008929A3" w:rsidP="008929A3">
      <w:pPr>
        <w:pStyle w:val="elementtoproof"/>
        <w:shd w:val="clear" w:color="auto" w:fill="FFFFFF"/>
      </w:pPr>
      <w:r>
        <w:rPr>
          <w:color w:val="212121"/>
          <w:sz w:val="22"/>
          <w:szCs w:val="22"/>
        </w:rPr>
        <w:t xml:space="preserve">More information on the conference venue, other streams, registration, etc., can be found here: </w:t>
      </w:r>
      <w:hyperlink r:id="rId4" w:tgtFrame="_blank" w:tooltip="Original URL: https://sites.exeter.ac.uk/clc2025/. Click or tap if you trust this link." w:history="1">
        <w:r>
          <w:rPr>
            <w:rStyle w:val="Hyperlink"/>
            <w:color w:val="96607D"/>
            <w:sz w:val="22"/>
            <w:szCs w:val="22"/>
          </w:rPr>
          <w:t>https://sites.exeter.ac.uk/clc2025/</w:t>
        </w:r>
      </w:hyperlink>
    </w:p>
    <w:p w14:paraId="38DF7871" w14:textId="77777777" w:rsidR="008929A3" w:rsidRDefault="008929A3" w:rsidP="008929A3">
      <w:pPr>
        <w:pStyle w:val="elementtoproof"/>
        <w:shd w:val="clear" w:color="auto" w:fill="FFFFFF"/>
      </w:pPr>
      <w:r>
        <w:rPr>
          <w:color w:val="212121"/>
          <w:sz w:val="22"/>
          <w:szCs w:val="22"/>
        </w:rPr>
        <w:t> </w:t>
      </w:r>
    </w:p>
    <w:p w14:paraId="701C660F" w14:textId="77777777" w:rsidR="008929A3" w:rsidRDefault="008929A3" w:rsidP="008929A3">
      <w:pPr>
        <w:pStyle w:val="elementtoproof"/>
        <w:shd w:val="clear" w:color="auto" w:fill="FFFFFF"/>
      </w:pPr>
      <w:r>
        <w:rPr>
          <w:color w:val="212121"/>
          <w:sz w:val="22"/>
          <w:szCs w:val="22"/>
        </w:rPr>
        <w:t> </w:t>
      </w:r>
    </w:p>
    <w:p w14:paraId="0C843394" w14:textId="77777777" w:rsidR="008929A3" w:rsidRDefault="008929A3" w:rsidP="008929A3">
      <w:pPr>
        <w:pStyle w:val="elementtoproof"/>
        <w:shd w:val="clear" w:color="auto" w:fill="FFFFFF"/>
        <w:ind w:left="720"/>
      </w:pPr>
      <w:r>
        <w:rPr>
          <w:b/>
          <w:bCs/>
          <w:color w:val="212121"/>
          <w:sz w:val="22"/>
          <w:szCs w:val="22"/>
          <w:u w:val="single"/>
        </w:rPr>
        <w:t>Law and Process</w:t>
      </w:r>
    </w:p>
    <w:p w14:paraId="46BB7E6C" w14:textId="77777777" w:rsidR="008929A3" w:rsidRDefault="008929A3" w:rsidP="008929A3">
      <w:pPr>
        <w:pStyle w:val="elementtoproof"/>
        <w:shd w:val="clear" w:color="auto" w:fill="FFFFFF"/>
        <w:ind w:left="720"/>
      </w:pPr>
      <w:r>
        <w:rPr>
          <w:b/>
          <w:bCs/>
          <w:color w:val="212121"/>
          <w:sz w:val="22"/>
          <w:szCs w:val="22"/>
        </w:rPr>
        <w:t> </w:t>
      </w:r>
    </w:p>
    <w:p w14:paraId="21EDBDEB" w14:textId="77777777" w:rsidR="008929A3" w:rsidRDefault="008929A3" w:rsidP="008929A3">
      <w:pPr>
        <w:pStyle w:val="elementtoproof"/>
        <w:shd w:val="clear" w:color="auto" w:fill="FFFFFF"/>
        <w:ind w:left="720"/>
      </w:pPr>
      <w:r>
        <w:rPr>
          <w:color w:val="212121"/>
          <w:sz w:val="22"/>
          <w:szCs w:val="22"/>
          <w:u w:val="single"/>
        </w:rPr>
        <w:t>Convenors</w:t>
      </w:r>
      <w:r>
        <w:rPr>
          <w:color w:val="212121"/>
          <w:sz w:val="22"/>
          <w:szCs w:val="22"/>
        </w:rPr>
        <w:t>: Kyriaki (Korina) Pavlidou, Jessica Elias, Clair Quentin, and Conor Heaney  </w:t>
      </w:r>
    </w:p>
    <w:p w14:paraId="389B9B31" w14:textId="77777777" w:rsidR="008929A3" w:rsidRDefault="008929A3" w:rsidP="008929A3">
      <w:pPr>
        <w:pStyle w:val="elementtoproof"/>
        <w:shd w:val="clear" w:color="auto" w:fill="FFFFFF"/>
        <w:ind w:left="720"/>
      </w:pPr>
      <w:r>
        <w:rPr>
          <w:color w:val="212121"/>
          <w:sz w:val="22"/>
          <w:szCs w:val="22"/>
        </w:rPr>
        <w:t> </w:t>
      </w:r>
    </w:p>
    <w:p w14:paraId="449D70D4" w14:textId="77777777" w:rsidR="008929A3" w:rsidRDefault="008929A3" w:rsidP="008929A3">
      <w:pPr>
        <w:pStyle w:val="elementtoproof"/>
        <w:shd w:val="clear" w:color="auto" w:fill="FFFFFF"/>
        <w:ind w:left="720"/>
      </w:pPr>
      <w:r>
        <w:rPr>
          <w:color w:val="212121"/>
          <w:sz w:val="22"/>
          <w:szCs w:val="22"/>
          <w:u w:val="single"/>
        </w:rPr>
        <w:t>Contact</w:t>
      </w:r>
      <w:r>
        <w:rPr>
          <w:color w:val="212121"/>
          <w:sz w:val="22"/>
          <w:szCs w:val="22"/>
        </w:rPr>
        <w:t xml:space="preserve">: </w:t>
      </w:r>
      <w:hyperlink r:id="rId5" w:tooltip="mailto:kyriaki.pavlidou.11@alumni.ucl.ac.uk" w:history="1">
        <w:r>
          <w:rPr>
            <w:rStyle w:val="Hyperlink"/>
            <w:color w:val="96607D"/>
            <w:sz w:val="22"/>
            <w:szCs w:val="22"/>
          </w:rPr>
          <w:t>kyriaki.pavlidou.11@alumni.ucl.ac.uk</w:t>
        </w:r>
      </w:hyperlink>
      <w:r>
        <w:rPr>
          <w:color w:val="212121"/>
          <w:sz w:val="22"/>
          <w:szCs w:val="22"/>
        </w:rPr>
        <w:t xml:space="preserve">; </w:t>
      </w:r>
      <w:hyperlink r:id="rId6" w:tooltip="mailto:je405@kent.ac.uk" w:history="1">
        <w:r>
          <w:rPr>
            <w:rStyle w:val="Hyperlink"/>
            <w:color w:val="96607D"/>
            <w:sz w:val="22"/>
            <w:szCs w:val="22"/>
          </w:rPr>
          <w:t>je405@kent.ac.uk</w:t>
        </w:r>
      </w:hyperlink>
      <w:r>
        <w:rPr>
          <w:color w:val="212121"/>
          <w:sz w:val="22"/>
          <w:szCs w:val="22"/>
        </w:rPr>
        <w:t xml:space="preserve">; </w:t>
      </w:r>
      <w:hyperlink r:id="rId7" w:tooltip="mailto:c.quentin@lboro.ac.uk" w:history="1">
        <w:r>
          <w:rPr>
            <w:rStyle w:val="Hyperlink"/>
            <w:color w:val="96607D"/>
            <w:sz w:val="22"/>
            <w:szCs w:val="22"/>
          </w:rPr>
          <w:t>c.quentin@lboro.ac.uk</w:t>
        </w:r>
      </w:hyperlink>
      <w:r>
        <w:rPr>
          <w:color w:val="212121"/>
          <w:sz w:val="22"/>
          <w:szCs w:val="22"/>
        </w:rPr>
        <w:t xml:space="preserve">; </w:t>
      </w:r>
      <w:hyperlink r:id="rId8" w:tooltip="mailto:c.heaney@kent.ac.uk" w:history="1">
        <w:r>
          <w:rPr>
            <w:rStyle w:val="Hyperlink"/>
            <w:color w:val="96607D"/>
            <w:sz w:val="22"/>
            <w:szCs w:val="22"/>
          </w:rPr>
          <w:t>c.heaney@kent.ac.uk</w:t>
        </w:r>
      </w:hyperlink>
      <w:r>
        <w:rPr>
          <w:rFonts w:ascii="Arial" w:hAnsi="Arial" w:cs="Arial"/>
          <w:color w:val="212121"/>
          <w:sz w:val="22"/>
          <w:szCs w:val="22"/>
        </w:rPr>
        <w:t> </w:t>
      </w:r>
      <w:r>
        <w:rPr>
          <w:color w:val="212121"/>
          <w:sz w:val="22"/>
          <w:szCs w:val="22"/>
        </w:rPr>
        <w:t>  </w:t>
      </w:r>
    </w:p>
    <w:p w14:paraId="66FE6089" w14:textId="77777777" w:rsidR="008929A3" w:rsidRDefault="008929A3" w:rsidP="008929A3">
      <w:pPr>
        <w:pStyle w:val="elementtoproof"/>
        <w:shd w:val="clear" w:color="auto" w:fill="FFFFFF"/>
        <w:ind w:left="720"/>
      </w:pPr>
      <w:r>
        <w:rPr>
          <w:color w:val="212121"/>
          <w:sz w:val="22"/>
          <w:szCs w:val="22"/>
        </w:rPr>
        <w:t> </w:t>
      </w:r>
    </w:p>
    <w:p w14:paraId="47CA5AB6" w14:textId="77777777" w:rsidR="008929A3" w:rsidRDefault="008929A3" w:rsidP="008929A3">
      <w:pPr>
        <w:pStyle w:val="elementtoproof"/>
        <w:shd w:val="clear" w:color="auto" w:fill="FFFFFF"/>
        <w:ind w:left="720"/>
      </w:pPr>
      <w:r>
        <w:rPr>
          <w:color w:val="212121"/>
          <w:sz w:val="22"/>
          <w:szCs w:val="22"/>
        </w:rPr>
        <w:t>Dominant modes of thought presuppose</w:t>
      </w:r>
      <w:r>
        <w:rPr>
          <w:rFonts w:ascii="Arial" w:hAnsi="Arial" w:cs="Arial"/>
          <w:color w:val="212121"/>
          <w:sz w:val="22"/>
          <w:szCs w:val="22"/>
        </w:rPr>
        <w:t> </w:t>
      </w:r>
      <w:r>
        <w:rPr>
          <w:i/>
          <w:iCs/>
          <w:color w:val="212121"/>
          <w:sz w:val="22"/>
          <w:szCs w:val="22"/>
        </w:rPr>
        <w:t>things</w:t>
      </w:r>
      <w:r>
        <w:rPr>
          <w:color w:val="212121"/>
          <w:sz w:val="22"/>
          <w:szCs w:val="22"/>
        </w:rPr>
        <w:t>, made out of matter, bounded in space, persisting through time in their composition and arrangement, and complying (or failing to comply) with a set of putative norms that govern the categories to which</w:t>
      </w:r>
      <w:r>
        <w:rPr>
          <w:rFonts w:ascii="Arial" w:hAnsi="Arial" w:cs="Arial"/>
          <w:color w:val="212121"/>
          <w:sz w:val="22"/>
          <w:szCs w:val="22"/>
        </w:rPr>
        <w:t> </w:t>
      </w:r>
      <w:r>
        <w:rPr>
          <w:i/>
          <w:iCs/>
          <w:color w:val="212121"/>
          <w:sz w:val="22"/>
          <w:szCs w:val="22"/>
        </w:rPr>
        <w:t>things</w:t>
      </w:r>
      <w:r>
        <w:rPr>
          <w:rFonts w:ascii="Arial" w:hAnsi="Arial" w:cs="Arial"/>
          <w:color w:val="212121"/>
          <w:sz w:val="22"/>
          <w:szCs w:val="22"/>
        </w:rPr>
        <w:t> </w:t>
      </w:r>
      <w:r>
        <w:rPr>
          <w:color w:val="212121"/>
          <w:sz w:val="22"/>
          <w:szCs w:val="22"/>
        </w:rPr>
        <w:t>belong. Those modes of thought are substance-ontological, and substance ontology is friendly to capitalism, white supremacy, ableism, cisheteropatriarchy, and other forms of domination and oppression. It underpins the commodity form,</w:t>
      </w:r>
      <w:r>
        <w:rPr>
          <w:rFonts w:ascii="Arial" w:hAnsi="Arial" w:cs="Arial"/>
          <w:i/>
          <w:iCs/>
          <w:color w:val="212121"/>
          <w:sz w:val="22"/>
          <w:szCs w:val="22"/>
        </w:rPr>
        <w:t> </w:t>
      </w:r>
      <w:r>
        <w:rPr>
          <w:i/>
          <w:iCs/>
          <w:color w:val="212121"/>
          <w:sz w:val="22"/>
          <w:szCs w:val="22"/>
        </w:rPr>
        <w:t>homo economicus</w:t>
      </w:r>
      <w:r>
        <w:rPr>
          <w:color w:val="212121"/>
          <w:sz w:val="22"/>
          <w:szCs w:val="22"/>
        </w:rPr>
        <w:t>, essentialised notions of race and sex, disabling conceptions of the body, and comparable exclusionary norms of all kinds. </w:t>
      </w:r>
    </w:p>
    <w:p w14:paraId="3906C405" w14:textId="77777777" w:rsidR="008929A3" w:rsidRDefault="008929A3" w:rsidP="008929A3">
      <w:pPr>
        <w:pStyle w:val="elementtoproof"/>
        <w:shd w:val="clear" w:color="auto" w:fill="FFFFFF"/>
        <w:ind w:left="720"/>
      </w:pPr>
      <w:r>
        <w:rPr>
          <w:color w:val="212121"/>
          <w:sz w:val="22"/>
          <w:szCs w:val="22"/>
        </w:rPr>
        <w:t> </w:t>
      </w:r>
    </w:p>
    <w:p w14:paraId="539ACDBB" w14:textId="77777777" w:rsidR="008929A3" w:rsidRDefault="008929A3" w:rsidP="008929A3">
      <w:pPr>
        <w:pStyle w:val="elementtoproof"/>
        <w:shd w:val="clear" w:color="auto" w:fill="FFFFFF"/>
        <w:ind w:left="720"/>
      </w:pPr>
      <w:r>
        <w:rPr>
          <w:color w:val="212121"/>
          <w:sz w:val="22"/>
          <w:szCs w:val="22"/>
        </w:rPr>
        <w:t>This stream foregrounds alternative modes of thought which, grouped under the heading ‘process ontologies’, view</w:t>
      </w:r>
      <w:r>
        <w:rPr>
          <w:rFonts w:ascii="Arial" w:hAnsi="Arial" w:cs="Arial"/>
          <w:color w:val="212121"/>
          <w:sz w:val="22"/>
          <w:szCs w:val="22"/>
        </w:rPr>
        <w:t> </w:t>
      </w:r>
      <w:r>
        <w:rPr>
          <w:i/>
          <w:iCs/>
          <w:color w:val="212121"/>
          <w:sz w:val="22"/>
          <w:szCs w:val="22"/>
        </w:rPr>
        <w:t>things</w:t>
      </w:r>
      <w:r>
        <w:rPr>
          <w:rFonts w:ascii="Arial" w:hAnsi="Arial" w:cs="Arial"/>
          <w:color w:val="212121"/>
          <w:sz w:val="22"/>
          <w:szCs w:val="22"/>
        </w:rPr>
        <w:t> </w:t>
      </w:r>
      <w:r>
        <w:rPr>
          <w:color w:val="212121"/>
          <w:sz w:val="22"/>
          <w:szCs w:val="22"/>
        </w:rPr>
        <w:t>as abstractions from</w:t>
      </w:r>
      <w:r>
        <w:rPr>
          <w:rFonts w:ascii="Arial" w:hAnsi="Arial" w:cs="Arial"/>
          <w:color w:val="212121"/>
          <w:sz w:val="22"/>
          <w:szCs w:val="22"/>
        </w:rPr>
        <w:t> </w:t>
      </w:r>
      <w:r>
        <w:rPr>
          <w:i/>
          <w:iCs/>
          <w:color w:val="212121"/>
          <w:sz w:val="22"/>
          <w:szCs w:val="22"/>
        </w:rPr>
        <w:t>processes</w:t>
      </w:r>
      <w:r>
        <w:rPr>
          <w:color w:val="212121"/>
          <w:sz w:val="22"/>
          <w:szCs w:val="22"/>
        </w:rPr>
        <w:t>. To take for example the land and the sea – the two ‘things’ whose interrelation forms the inspiration for the theme of this conference – these ‘things’ may be better understood not as things at all but as abstractions from entangled geological, tectonic, hydrological, social-ecological, political, technological etc. processes. It is in view of the amenability of such (as it were) ‘natural’ phenomena to a process-ontological outlook that the natural sciences provide process ontologies with perhaps their most readily appreciable application. No more so is this the case, moreover, than in the science of that paradigmatically processual phenomenon, life itself. And indeed philosophy of biology is the discipline of one of today’s foremost exponents of process ontology, the University of Exeter’s own John Dupré. </w:t>
      </w:r>
    </w:p>
    <w:p w14:paraId="74D35792" w14:textId="77777777" w:rsidR="008929A3" w:rsidRDefault="008929A3" w:rsidP="008929A3">
      <w:pPr>
        <w:pStyle w:val="elementtoproof"/>
        <w:shd w:val="clear" w:color="auto" w:fill="FFFFFF"/>
        <w:ind w:left="720"/>
      </w:pPr>
      <w:r>
        <w:rPr>
          <w:color w:val="212121"/>
          <w:sz w:val="22"/>
          <w:szCs w:val="22"/>
        </w:rPr>
        <w:t> </w:t>
      </w:r>
    </w:p>
    <w:p w14:paraId="6AD377AB" w14:textId="77777777" w:rsidR="008929A3" w:rsidRDefault="008929A3" w:rsidP="008929A3">
      <w:pPr>
        <w:pStyle w:val="elementtoproof"/>
        <w:shd w:val="clear" w:color="auto" w:fill="FFFFFF"/>
        <w:ind w:left="720"/>
      </w:pPr>
      <w:r>
        <w:rPr>
          <w:color w:val="212121"/>
          <w:sz w:val="22"/>
          <w:szCs w:val="22"/>
        </w:rPr>
        <w:t>The purpose of this stream is to share the uses that may be made of processual thinking/practice by critical legal scholars. </w:t>
      </w:r>
    </w:p>
    <w:p w14:paraId="4DA2D03C" w14:textId="77777777" w:rsidR="008929A3" w:rsidRDefault="008929A3" w:rsidP="008929A3">
      <w:pPr>
        <w:pStyle w:val="elementtoproof"/>
        <w:shd w:val="clear" w:color="auto" w:fill="FFFFFF"/>
        <w:ind w:left="720"/>
      </w:pPr>
      <w:r>
        <w:rPr>
          <w:color w:val="212121"/>
          <w:sz w:val="22"/>
          <w:szCs w:val="22"/>
        </w:rPr>
        <w:t> </w:t>
      </w:r>
    </w:p>
    <w:p w14:paraId="7A1B6409" w14:textId="77777777" w:rsidR="008929A3" w:rsidRDefault="008929A3" w:rsidP="008929A3">
      <w:pPr>
        <w:pStyle w:val="elementtoproof"/>
        <w:shd w:val="clear" w:color="auto" w:fill="FFFFFF"/>
        <w:ind w:left="720"/>
      </w:pPr>
      <w:r>
        <w:rPr>
          <w:color w:val="212121"/>
          <w:sz w:val="22"/>
          <w:szCs w:val="22"/>
        </w:rPr>
        <w:t>How might concepts of flux, of becoming, of process, be of use in understanding the juridical?</w:t>
      </w:r>
      <w:r>
        <w:rPr>
          <w:rFonts w:ascii="Arial" w:hAnsi="Arial" w:cs="Arial"/>
          <w:color w:val="212121"/>
          <w:sz w:val="22"/>
          <w:szCs w:val="22"/>
        </w:rPr>
        <w:t> </w:t>
      </w:r>
      <w:r>
        <w:rPr>
          <w:color w:val="212121"/>
          <w:sz w:val="22"/>
          <w:szCs w:val="22"/>
        </w:rPr>
        <w:t xml:space="preserve"> How have process thinkers historically conceived of law within a broader process metaphysics and how can we situate these contributions within the history of legal thought? What phenomena emerge when law interacts with physical, chemical, geological, biological, reproductive, and dissipative processes? What theoretical tools may be drawn from the natural sciences, insofar as those sciences seek to understand a universe in constant motion, for use in critical legal scholarship? What does the </w:t>
      </w:r>
      <w:r>
        <w:rPr>
          <w:color w:val="212121"/>
          <w:sz w:val="22"/>
          <w:szCs w:val="22"/>
        </w:rPr>
        <w:lastRenderedPageBreak/>
        <w:t>impossibility of stasis – bearing in mind such inevitable features of existence as mortality and ever-increasing entropy – mean for the kinds of fixity and determinacy that law seemingly calls for? If, as process ontology suggests, there is no such thing as a</w:t>
      </w:r>
      <w:r>
        <w:rPr>
          <w:rFonts w:ascii="Arial" w:hAnsi="Arial" w:cs="Arial"/>
          <w:color w:val="212121"/>
          <w:sz w:val="22"/>
          <w:szCs w:val="22"/>
        </w:rPr>
        <w:t> </w:t>
      </w:r>
      <w:r>
        <w:rPr>
          <w:i/>
          <w:iCs/>
          <w:color w:val="212121"/>
          <w:sz w:val="22"/>
          <w:szCs w:val="22"/>
        </w:rPr>
        <w:t>thing</w:t>
      </w:r>
      <w:r>
        <w:rPr>
          <w:color w:val="212121"/>
          <w:sz w:val="22"/>
          <w:szCs w:val="22"/>
        </w:rPr>
        <w:t>,</w:t>
      </w:r>
      <w:r>
        <w:rPr>
          <w:rFonts w:ascii="Arial" w:hAnsi="Arial" w:cs="Arial"/>
          <w:color w:val="212121"/>
          <w:sz w:val="22"/>
          <w:szCs w:val="22"/>
        </w:rPr>
        <w:t> </w:t>
      </w:r>
      <w:r>
        <w:rPr>
          <w:color w:val="212121"/>
          <w:sz w:val="22"/>
          <w:szCs w:val="22"/>
        </w:rPr>
        <w:t>what might that mean for legal scholarship and for human social organisation more generally?</w:t>
      </w:r>
      <w:r>
        <w:rPr>
          <w:rFonts w:ascii="Arial" w:hAnsi="Arial" w:cs="Arial"/>
          <w:color w:val="212121"/>
          <w:sz w:val="22"/>
          <w:szCs w:val="22"/>
        </w:rPr>
        <w:t> </w:t>
      </w:r>
      <w:r>
        <w:rPr>
          <w:color w:val="212121"/>
          <w:sz w:val="22"/>
          <w:szCs w:val="22"/>
        </w:rPr>
        <w:t> Can (or should) process ontology be translated into a language legible to our political and legal institutions or are these institutions indelibly attached to substantialist notions? If we as legal scholars, like life itself, are to resist substance ontology, what does that mean for the legal form, legal relations, legal persons? Is the juridical an island of substance ontology in an ocean of flux, and if so what may be found by scholarly beachcombers on its shores?</w:t>
      </w:r>
    </w:p>
    <w:p w14:paraId="07D9B019" w14:textId="77777777" w:rsidR="008929A3" w:rsidRDefault="008929A3" w:rsidP="008929A3">
      <w:pPr>
        <w:pStyle w:val="elementtoproof"/>
        <w:shd w:val="clear" w:color="auto" w:fill="FFFFFF"/>
      </w:pPr>
      <w:r>
        <w:rPr>
          <w:color w:val="212121"/>
          <w:sz w:val="22"/>
          <w:szCs w:val="22"/>
        </w:rPr>
        <w:t> </w:t>
      </w:r>
    </w:p>
    <w:p w14:paraId="45456841" w14:textId="77777777" w:rsidR="008929A3" w:rsidRDefault="008929A3" w:rsidP="008929A3">
      <w:pPr>
        <w:pStyle w:val="elementtoproof"/>
        <w:shd w:val="clear" w:color="auto" w:fill="FFFFFF"/>
      </w:pPr>
      <w:r>
        <w:rPr>
          <w:color w:val="212121"/>
          <w:sz w:val="22"/>
          <w:szCs w:val="22"/>
        </w:rPr>
        <w:t> </w:t>
      </w:r>
    </w:p>
    <w:p w14:paraId="12BD4FCC" w14:textId="77777777" w:rsidR="008929A3" w:rsidRDefault="008929A3" w:rsidP="008929A3">
      <w:pPr>
        <w:pStyle w:val="elementtoproof"/>
        <w:shd w:val="clear" w:color="auto" w:fill="FFFFFF"/>
      </w:pPr>
      <w:r>
        <w:rPr>
          <w:color w:val="212121"/>
          <w:sz w:val="22"/>
          <w:szCs w:val="22"/>
        </w:rPr>
        <w:t>If you have any questions, queries, or would like a chat in relation to this stream and whether or not your work would fit, please do not hesitate to drop me a line and I will be happy to discuss further. </w:t>
      </w:r>
    </w:p>
    <w:p w14:paraId="03AAF1D8" w14:textId="77777777" w:rsidR="008929A3" w:rsidRDefault="008929A3" w:rsidP="008929A3">
      <w:pPr>
        <w:pStyle w:val="elementtoproof"/>
        <w:shd w:val="clear" w:color="auto" w:fill="FFFFFF"/>
      </w:pPr>
      <w:r>
        <w:rPr>
          <w:color w:val="212121"/>
          <w:sz w:val="22"/>
          <w:szCs w:val="22"/>
        </w:rPr>
        <w:t> </w:t>
      </w:r>
    </w:p>
    <w:p w14:paraId="500CAFCD" w14:textId="77777777" w:rsidR="008929A3" w:rsidRDefault="008929A3" w:rsidP="008929A3">
      <w:pPr>
        <w:pStyle w:val="elementtoproof"/>
        <w:shd w:val="clear" w:color="auto" w:fill="FFFFFF"/>
      </w:pPr>
      <w:r>
        <w:rPr>
          <w:color w:val="212121"/>
          <w:sz w:val="22"/>
          <w:szCs w:val="22"/>
        </w:rPr>
        <w:t>Looking forward to receiving your abstracts! </w:t>
      </w:r>
    </w:p>
    <w:p w14:paraId="11C13E7E" w14:textId="77777777" w:rsidR="008929A3" w:rsidRDefault="008929A3" w:rsidP="008929A3">
      <w:pPr>
        <w:pStyle w:val="elementtoproof"/>
        <w:shd w:val="clear" w:color="auto" w:fill="FFFFFF"/>
      </w:pPr>
      <w:r>
        <w:rPr>
          <w:color w:val="212121"/>
          <w:sz w:val="22"/>
          <w:szCs w:val="22"/>
        </w:rPr>
        <w:t> </w:t>
      </w:r>
    </w:p>
    <w:p w14:paraId="3D871448" w14:textId="77777777" w:rsidR="008929A3" w:rsidRDefault="008929A3" w:rsidP="008929A3">
      <w:pPr>
        <w:pStyle w:val="elementtoproof"/>
        <w:shd w:val="clear" w:color="auto" w:fill="FFFFFF"/>
      </w:pPr>
      <w:r>
        <w:rPr>
          <w:color w:val="212121"/>
          <w:sz w:val="22"/>
          <w:szCs w:val="22"/>
        </w:rPr>
        <w:t>All the best,</w:t>
      </w:r>
    </w:p>
    <w:p w14:paraId="0221E3F4" w14:textId="77777777" w:rsidR="008929A3" w:rsidRDefault="008929A3" w:rsidP="008929A3">
      <w:pPr>
        <w:pStyle w:val="elementtoproof"/>
        <w:shd w:val="clear" w:color="auto" w:fill="FFFFFF"/>
      </w:pPr>
      <w:r>
        <w:rPr>
          <w:color w:val="212121"/>
          <w:sz w:val="22"/>
          <w:szCs w:val="22"/>
        </w:rPr>
        <w:t>Jessica</w:t>
      </w:r>
    </w:p>
    <w:p w14:paraId="6932BA4A" w14:textId="77777777" w:rsidR="008929A3" w:rsidRDefault="008929A3" w:rsidP="008929A3">
      <w:pPr>
        <w:rPr>
          <w:rFonts w:eastAsia="Times New Roman"/>
          <w:color w:val="000000"/>
        </w:rPr>
      </w:pPr>
    </w:p>
    <w:p w14:paraId="5A21A0FE" w14:textId="77777777" w:rsidR="008929A3" w:rsidRDefault="008929A3" w:rsidP="008929A3">
      <w:pPr>
        <w:pStyle w:val="NormalWeb"/>
        <w:shd w:val="clear" w:color="auto" w:fill="FFFFFF"/>
      </w:pPr>
      <w:r>
        <w:rPr>
          <w:color w:val="424242"/>
          <w:sz w:val="20"/>
          <w:szCs w:val="20"/>
        </w:rPr>
        <w:t>Jessica Elias</w:t>
      </w:r>
    </w:p>
    <w:p w14:paraId="572A27A2" w14:textId="77777777" w:rsidR="008929A3" w:rsidRDefault="008929A3" w:rsidP="008929A3">
      <w:pPr>
        <w:pStyle w:val="NormalWeb"/>
        <w:shd w:val="clear" w:color="auto" w:fill="FFFFFF"/>
      </w:pPr>
      <w:r>
        <w:rPr>
          <w:color w:val="424242"/>
          <w:sz w:val="20"/>
          <w:szCs w:val="20"/>
        </w:rPr>
        <w:t>PhD Candidate and Assistant Lecturer</w:t>
      </w:r>
    </w:p>
    <w:p w14:paraId="073F5942" w14:textId="77777777" w:rsidR="008929A3" w:rsidRDefault="008929A3" w:rsidP="008929A3">
      <w:pPr>
        <w:pStyle w:val="NormalWeb"/>
        <w:shd w:val="clear" w:color="auto" w:fill="FFFFFF"/>
      </w:pPr>
      <w:r>
        <w:rPr>
          <w:color w:val="424242"/>
          <w:sz w:val="20"/>
          <w:szCs w:val="20"/>
        </w:rPr>
        <w:t>Kent Law School</w:t>
      </w:r>
    </w:p>
    <w:p w14:paraId="244FDF91" w14:textId="77777777" w:rsidR="008929A3" w:rsidRDefault="008929A3" w:rsidP="008929A3">
      <w:pPr>
        <w:pStyle w:val="NormalWeb"/>
        <w:shd w:val="clear" w:color="auto" w:fill="FFFFFF"/>
      </w:pPr>
      <w:r>
        <w:rPr>
          <w:color w:val="424242"/>
          <w:sz w:val="20"/>
          <w:szCs w:val="20"/>
        </w:rPr>
        <w:t>Elliot Building | University of Kent | Canterbury CT2 8NS | UK</w:t>
      </w:r>
    </w:p>
    <w:p w14:paraId="5E3842CE"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A3"/>
    <w:rsid w:val="00075D65"/>
    <w:rsid w:val="000A78E6"/>
    <w:rsid w:val="000F182A"/>
    <w:rsid w:val="00104E05"/>
    <w:rsid w:val="001E2D02"/>
    <w:rsid w:val="0021333D"/>
    <w:rsid w:val="00260A59"/>
    <w:rsid w:val="00282B10"/>
    <w:rsid w:val="0036531C"/>
    <w:rsid w:val="003B58CE"/>
    <w:rsid w:val="00564A66"/>
    <w:rsid w:val="006A32EE"/>
    <w:rsid w:val="00745977"/>
    <w:rsid w:val="00796CB6"/>
    <w:rsid w:val="007B7207"/>
    <w:rsid w:val="007C1409"/>
    <w:rsid w:val="007D05C6"/>
    <w:rsid w:val="008929A3"/>
    <w:rsid w:val="008E0826"/>
    <w:rsid w:val="0099589C"/>
    <w:rsid w:val="00A7631B"/>
    <w:rsid w:val="00B91B56"/>
    <w:rsid w:val="00BE2756"/>
    <w:rsid w:val="00D445E4"/>
    <w:rsid w:val="00D461E1"/>
    <w:rsid w:val="00D82AAA"/>
    <w:rsid w:val="00DF4EF2"/>
    <w:rsid w:val="00E37068"/>
    <w:rsid w:val="00EE147D"/>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91AE"/>
  <w15:chartTrackingRefBased/>
  <w15:docId w15:val="{A93F2888-2B42-46DC-901C-C5DD028E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29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9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9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9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9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9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9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9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9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9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9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9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9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9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9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9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9A3"/>
    <w:rPr>
      <w:rFonts w:eastAsiaTheme="majorEastAsia" w:cstheme="majorBidi"/>
      <w:color w:val="272727" w:themeColor="text1" w:themeTint="D8"/>
    </w:rPr>
  </w:style>
  <w:style w:type="paragraph" w:styleId="Title">
    <w:name w:val="Title"/>
    <w:basedOn w:val="Normal"/>
    <w:next w:val="Normal"/>
    <w:link w:val="TitleChar"/>
    <w:uiPriority w:val="10"/>
    <w:qFormat/>
    <w:rsid w:val="008929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9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9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9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9A3"/>
    <w:pPr>
      <w:spacing w:before="160"/>
      <w:jc w:val="center"/>
    </w:pPr>
    <w:rPr>
      <w:i/>
      <w:iCs/>
      <w:color w:val="404040" w:themeColor="text1" w:themeTint="BF"/>
    </w:rPr>
  </w:style>
  <w:style w:type="character" w:customStyle="1" w:styleId="QuoteChar">
    <w:name w:val="Quote Char"/>
    <w:basedOn w:val="DefaultParagraphFont"/>
    <w:link w:val="Quote"/>
    <w:uiPriority w:val="29"/>
    <w:rsid w:val="008929A3"/>
    <w:rPr>
      <w:i/>
      <w:iCs/>
      <w:color w:val="404040" w:themeColor="text1" w:themeTint="BF"/>
    </w:rPr>
  </w:style>
  <w:style w:type="paragraph" w:styleId="ListParagraph">
    <w:name w:val="List Paragraph"/>
    <w:basedOn w:val="Normal"/>
    <w:uiPriority w:val="34"/>
    <w:qFormat/>
    <w:rsid w:val="008929A3"/>
    <w:pPr>
      <w:ind w:left="720"/>
      <w:contextualSpacing/>
    </w:pPr>
  </w:style>
  <w:style w:type="character" w:styleId="IntenseEmphasis">
    <w:name w:val="Intense Emphasis"/>
    <w:basedOn w:val="DefaultParagraphFont"/>
    <w:uiPriority w:val="21"/>
    <w:qFormat/>
    <w:rsid w:val="008929A3"/>
    <w:rPr>
      <w:i/>
      <w:iCs/>
      <w:color w:val="0F4761" w:themeColor="accent1" w:themeShade="BF"/>
    </w:rPr>
  </w:style>
  <w:style w:type="paragraph" w:styleId="IntenseQuote">
    <w:name w:val="Intense Quote"/>
    <w:basedOn w:val="Normal"/>
    <w:next w:val="Normal"/>
    <w:link w:val="IntenseQuoteChar"/>
    <w:uiPriority w:val="30"/>
    <w:qFormat/>
    <w:rsid w:val="008929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9A3"/>
    <w:rPr>
      <w:i/>
      <w:iCs/>
      <w:color w:val="0F4761" w:themeColor="accent1" w:themeShade="BF"/>
    </w:rPr>
  </w:style>
  <w:style w:type="character" w:styleId="IntenseReference">
    <w:name w:val="Intense Reference"/>
    <w:basedOn w:val="DefaultParagraphFont"/>
    <w:uiPriority w:val="32"/>
    <w:qFormat/>
    <w:rsid w:val="008929A3"/>
    <w:rPr>
      <w:b/>
      <w:bCs/>
      <w:smallCaps/>
      <w:color w:val="0F4761" w:themeColor="accent1" w:themeShade="BF"/>
      <w:spacing w:val="5"/>
    </w:rPr>
  </w:style>
  <w:style w:type="character" w:styleId="Hyperlink">
    <w:name w:val="Hyperlink"/>
    <w:basedOn w:val="DefaultParagraphFont"/>
    <w:uiPriority w:val="99"/>
    <w:semiHidden/>
    <w:unhideWhenUsed/>
    <w:rsid w:val="008929A3"/>
    <w:rPr>
      <w:color w:val="0000FF"/>
      <w:u w:val="single"/>
    </w:rPr>
  </w:style>
  <w:style w:type="paragraph" w:styleId="NormalWeb">
    <w:name w:val="Normal (Web)"/>
    <w:basedOn w:val="Normal"/>
    <w:uiPriority w:val="99"/>
    <w:semiHidden/>
    <w:unhideWhenUsed/>
    <w:rsid w:val="008929A3"/>
    <w:pPr>
      <w:spacing w:after="0" w:line="240" w:lineRule="auto"/>
    </w:pPr>
    <w:rPr>
      <w:rFonts w:ascii="Aptos" w:hAnsi="Aptos" w:cs="Aptos"/>
      <w:kern w:val="0"/>
      <w14:ligatures w14:val="none"/>
    </w:rPr>
  </w:style>
  <w:style w:type="paragraph" w:customStyle="1" w:styleId="elementtoproof">
    <w:name w:val="elementtoproof"/>
    <w:basedOn w:val="Normal"/>
    <w:uiPriority w:val="99"/>
    <w:semiHidden/>
    <w:rsid w:val="008929A3"/>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0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aney@kent.ac.uk" TargetMode="External"/><Relationship Id="rId3" Type="http://schemas.openxmlformats.org/officeDocument/2006/relationships/webSettings" Target="webSettings.xml"/><Relationship Id="rId7" Type="http://schemas.openxmlformats.org/officeDocument/2006/relationships/hyperlink" Target="mailto:c.quentin@lboro.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405@kent.ac.uk" TargetMode="External"/><Relationship Id="rId5" Type="http://schemas.openxmlformats.org/officeDocument/2006/relationships/hyperlink" Target="mailto:kyriaki.pavlidou.11@alumni.ucl.ac.uk" TargetMode="External"/><Relationship Id="rId10" Type="http://schemas.openxmlformats.org/officeDocument/2006/relationships/theme" Target="theme/theme1.xml"/><Relationship Id="rId4" Type="http://schemas.openxmlformats.org/officeDocument/2006/relationships/hyperlink" Target="https://sites.exeter.ac.uk/clc202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2025-05-19T09:43:00Z</dcterms:created>
  <dcterms:modified xsi:type="dcterms:W3CDTF">2025-05-19T09:43:00Z</dcterms:modified>
</cp:coreProperties>
</file>