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EDCD" w14:textId="77777777" w:rsidR="0018029E" w:rsidRDefault="0034591C" w:rsidP="0034591C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The latest issue of </w:t>
      </w:r>
      <w:r>
        <w:rPr>
          <w:i/>
          <w:iCs/>
          <w:sz w:val="22"/>
          <w:szCs w:val="22"/>
        </w:rPr>
        <w:t>Amicus Curiae</w:t>
      </w:r>
      <w:r>
        <w:rPr>
          <w:sz w:val="22"/>
          <w:szCs w:val="22"/>
        </w:rPr>
        <w:t xml:space="preserve"> (Series 2, Volume 6, Issue </w:t>
      </w:r>
      <w:r w:rsidR="001C7A52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="001C7A52">
        <w:rPr>
          <w:sz w:val="22"/>
          <w:szCs w:val="22"/>
        </w:rPr>
        <w:t>Spring</w:t>
      </w:r>
      <w:r>
        <w:rPr>
          <w:sz w:val="22"/>
          <w:szCs w:val="22"/>
        </w:rPr>
        <w:t xml:space="preserve"> 202</w:t>
      </w:r>
      <w:r w:rsidR="001C7A52">
        <w:rPr>
          <w:sz w:val="22"/>
          <w:szCs w:val="22"/>
        </w:rPr>
        <w:t>5</w:t>
      </w:r>
      <w:r>
        <w:rPr>
          <w:sz w:val="22"/>
          <w:szCs w:val="22"/>
        </w:rPr>
        <w:t xml:space="preserve">) has just been published. </w:t>
      </w:r>
    </w:p>
    <w:p w14:paraId="3C6007CA" w14:textId="77777777" w:rsidR="0018029E" w:rsidRDefault="0018029E" w:rsidP="0034591C">
      <w:pPr>
        <w:pStyle w:val="xmsonormal"/>
        <w:rPr>
          <w:sz w:val="22"/>
          <w:szCs w:val="22"/>
        </w:rPr>
      </w:pPr>
    </w:p>
    <w:p w14:paraId="1A9B7C03" w14:textId="16B2FC57" w:rsidR="001C7A52" w:rsidRDefault="001C7A52" w:rsidP="0034591C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Professor Michael Palmer, who has been the journal’s Editor since the successful relaunch of Series 2 in 2019, has handed over </w:t>
      </w:r>
      <w:r w:rsidR="00921FD0">
        <w:rPr>
          <w:sz w:val="22"/>
          <w:szCs w:val="22"/>
        </w:rPr>
        <w:t>editing</w:t>
      </w:r>
      <w:r>
        <w:rPr>
          <w:sz w:val="22"/>
          <w:szCs w:val="22"/>
        </w:rPr>
        <w:t xml:space="preserve"> of the journal to three co-editors, but</w:t>
      </w:r>
      <w:r w:rsidR="0018029E">
        <w:rPr>
          <w:sz w:val="22"/>
          <w:szCs w:val="22"/>
        </w:rPr>
        <w:t xml:space="preserve"> we are delighted to announce that he</w:t>
      </w:r>
      <w:r>
        <w:rPr>
          <w:sz w:val="22"/>
          <w:szCs w:val="22"/>
        </w:rPr>
        <w:t xml:space="preserve"> is continuing in a new role of Consultant Editor</w:t>
      </w:r>
      <w:r w:rsidR="00D0190C">
        <w:rPr>
          <w:sz w:val="22"/>
          <w:szCs w:val="22"/>
        </w:rPr>
        <w:t xml:space="preserve"> to </w:t>
      </w:r>
      <w:r w:rsidR="00D81D1B">
        <w:rPr>
          <w:sz w:val="22"/>
          <w:szCs w:val="22"/>
        </w:rPr>
        <w:t>oversee future issues and offer</w:t>
      </w:r>
      <w:r w:rsidR="00D0190C">
        <w:rPr>
          <w:sz w:val="22"/>
          <w:szCs w:val="22"/>
        </w:rPr>
        <w:t xml:space="preserve"> his </w:t>
      </w:r>
      <w:r w:rsidR="00E23BCB">
        <w:rPr>
          <w:sz w:val="22"/>
          <w:szCs w:val="22"/>
        </w:rPr>
        <w:t>considerable expertise and knowledge to the team.</w:t>
      </w:r>
    </w:p>
    <w:p w14:paraId="77FD2A12" w14:textId="77777777" w:rsidR="001C7A52" w:rsidRDefault="001C7A52" w:rsidP="0034591C">
      <w:pPr>
        <w:pStyle w:val="xmsonormal"/>
        <w:rPr>
          <w:sz w:val="22"/>
          <w:szCs w:val="22"/>
        </w:rPr>
      </w:pPr>
    </w:p>
    <w:p w14:paraId="405EAA00" w14:textId="1B3AEC60" w:rsidR="001C7A52" w:rsidRDefault="001C7A52" w:rsidP="0034591C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The journal’s </w:t>
      </w:r>
      <w:r w:rsidR="0018029E">
        <w:rPr>
          <w:sz w:val="22"/>
          <w:szCs w:val="22"/>
        </w:rPr>
        <w:t xml:space="preserve">new </w:t>
      </w:r>
      <w:r>
        <w:rPr>
          <w:sz w:val="22"/>
          <w:szCs w:val="22"/>
        </w:rPr>
        <w:t xml:space="preserve">Co-editors are </w:t>
      </w:r>
      <w:r w:rsidRPr="001C7A52">
        <w:rPr>
          <w:sz w:val="22"/>
          <w:szCs w:val="22"/>
        </w:rPr>
        <w:t>Professor Pablo Cortes, University of Leicester</w:t>
      </w:r>
      <w:r>
        <w:rPr>
          <w:sz w:val="22"/>
          <w:szCs w:val="22"/>
        </w:rPr>
        <w:t>,</w:t>
      </w:r>
      <w:r w:rsidRPr="001C7A52">
        <w:rPr>
          <w:sz w:val="22"/>
          <w:szCs w:val="22"/>
        </w:rPr>
        <w:t xml:space="preserve"> Dr Amy Kellam, School of</w:t>
      </w:r>
      <w:r>
        <w:rPr>
          <w:sz w:val="22"/>
          <w:szCs w:val="22"/>
        </w:rPr>
        <w:t xml:space="preserve"> </w:t>
      </w:r>
      <w:r w:rsidRPr="001C7A52">
        <w:rPr>
          <w:sz w:val="22"/>
          <w:szCs w:val="22"/>
        </w:rPr>
        <w:t>Advanced Study University of London</w:t>
      </w:r>
      <w:r>
        <w:rPr>
          <w:sz w:val="22"/>
          <w:szCs w:val="22"/>
        </w:rPr>
        <w:t>, and Dr Maria Federica Moscati, University of Sussex. This issue has been</w:t>
      </w:r>
      <w:r w:rsidR="00B40079">
        <w:rPr>
          <w:sz w:val="22"/>
          <w:szCs w:val="22"/>
        </w:rPr>
        <w:t xml:space="preserve"> </w:t>
      </w:r>
      <w:r>
        <w:rPr>
          <w:sz w:val="22"/>
          <w:szCs w:val="22"/>
        </w:rPr>
        <w:t>edited by Dr Moscati.</w:t>
      </w:r>
    </w:p>
    <w:p w14:paraId="66E136A1" w14:textId="77777777" w:rsidR="001C7A52" w:rsidRDefault="001C7A52" w:rsidP="0034591C">
      <w:pPr>
        <w:pStyle w:val="xmsonormal"/>
        <w:rPr>
          <w:sz w:val="22"/>
          <w:szCs w:val="22"/>
        </w:rPr>
      </w:pPr>
    </w:p>
    <w:p w14:paraId="3387F98A" w14:textId="4F94FB92" w:rsidR="001C7A52" w:rsidRDefault="001C7A52" w:rsidP="00DA3168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>The issue opens with a special section</w:t>
      </w:r>
      <w:r w:rsidR="00DA3168">
        <w:rPr>
          <w:sz w:val="22"/>
          <w:szCs w:val="22"/>
        </w:rPr>
        <w:t xml:space="preserve"> entitled </w:t>
      </w:r>
      <w:r w:rsidR="00DA3168" w:rsidRPr="00DA3168">
        <w:rPr>
          <w:sz w:val="22"/>
          <w:szCs w:val="22"/>
        </w:rPr>
        <w:t>Surrogacy Beyond the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Carceral: Culture, Law and Lived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Experience</w:t>
      </w:r>
      <w:r>
        <w:rPr>
          <w:sz w:val="22"/>
          <w:szCs w:val="22"/>
        </w:rPr>
        <w:t xml:space="preserve">, guest-edited by </w:t>
      </w:r>
      <w:r w:rsidR="00B40079" w:rsidRPr="00B40079">
        <w:rPr>
          <w:sz w:val="22"/>
          <w:szCs w:val="22"/>
        </w:rPr>
        <w:t xml:space="preserve"> Professor Maya Unnithan</w:t>
      </w:r>
      <w:r w:rsidR="00B40079">
        <w:rPr>
          <w:sz w:val="22"/>
          <w:szCs w:val="22"/>
        </w:rPr>
        <w:t xml:space="preserve"> and </w:t>
      </w:r>
      <w:r w:rsidR="00DA3168">
        <w:rPr>
          <w:sz w:val="22"/>
          <w:szCs w:val="22"/>
        </w:rPr>
        <w:t xml:space="preserve">Dr Moscati. The section leads with an analysis of commercial surrogacy in Texas by Heather Jacobson, followed by Brian Tobin’s account of </w:t>
      </w:r>
      <w:r w:rsidR="00DA3168" w:rsidRPr="00DA3168">
        <w:rPr>
          <w:sz w:val="22"/>
          <w:szCs w:val="22"/>
        </w:rPr>
        <w:t>recent legal developments on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domestic and international surrogacy in Ireland</w:t>
      </w:r>
      <w:r w:rsidR="00DA3168">
        <w:rPr>
          <w:sz w:val="22"/>
          <w:szCs w:val="22"/>
        </w:rPr>
        <w:t xml:space="preserve">. </w:t>
      </w:r>
      <w:r w:rsidR="00DA3168" w:rsidRPr="00DA3168">
        <w:rPr>
          <w:sz w:val="22"/>
          <w:szCs w:val="22"/>
        </w:rPr>
        <w:t>Lottie Park-Morton then</w:t>
      </w:r>
      <w:r w:rsidR="00DA3168">
        <w:rPr>
          <w:sz w:val="22"/>
          <w:szCs w:val="22"/>
        </w:rPr>
        <w:t xml:space="preserve"> </w:t>
      </w:r>
      <w:r w:rsidR="0052656A">
        <w:rPr>
          <w:sz w:val="22"/>
          <w:szCs w:val="22"/>
        </w:rPr>
        <w:t>presents</w:t>
      </w:r>
      <w:r w:rsidR="00DA3168">
        <w:rPr>
          <w:sz w:val="22"/>
          <w:szCs w:val="22"/>
        </w:rPr>
        <w:t xml:space="preserve"> an</w:t>
      </w:r>
      <w:r w:rsidR="00DA3168" w:rsidRPr="00DA3168">
        <w:rPr>
          <w:sz w:val="22"/>
          <w:szCs w:val="22"/>
        </w:rPr>
        <w:t xml:space="preserve"> examin</w:t>
      </w:r>
      <w:r w:rsidR="00DA3168">
        <w:rPr>
          <w:sz w:val="22"/>
          <w:szCs w:val="22"/>
        </w:rPr>
        <w:t xml:space="preserve">ation of how the idea of the </w:t>
      </w:r>
      <w:r w:rsidR="00DA3168" w:rsidRPr="00DA3168">
        <w:rPr>
          <w:sz w:val="22"/>
          <w:szCs w:val="22"/>
        </w:rPr>
        <w:t>best interests of the child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has been adopted when developing legislative responses to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surrogacy.</w:t>
      </w:r>
      <w:r w:rsidR="00DA3168">
        <w:rPr>
          <w:sz w:val="22"/>
          <w:szCs w:val="22"/>
        </w:rPr>
        <w:t xml:space="preserve"> The section concludes with two articles focusing on India. </w:t>
      </w:r>
      <w:r w:rsidR="00DA3168" w:rsidRPr="00DA3168">
        <w:rPr>
          <w:sz w:val="22"/>
          <w:szCs w:val="22"/>
        </w:rPr>
        <w:t>Madhusree Jana and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Prabha Kotiswaran analyse the legislative framework on women’s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reproductive labour in India</w:t>
      </w:r>
      <w:r w:rsidR="00DA3168">
        <w:rPr>
          <w:sz w:val="22"/>
          <w:szCs w:val="22"/>
        </w:rPr>
        <w:t xml:space="preserve"> and </w:t>
      </w:r>
      <w:r w:rsidR="00DA3168" w:rsidRPr="00DA3168">
        <w:rPr>
          <w:sz w:val="22"/>
          <w:szCs w:val="22"/>
        </w:rPr>
        <w:t>Maya Unnithan and Jayna Kothari close the special section with an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account of the marginalization of “single”, unmarried women in the Indian</w:t>
      </w:r>
      <w:r w:rsidR="00DA3168">
        <w:rPr>
          <w:sz w:val="22"/>
          <w:szCs w:val="22"/>
        </w:rPr>
        <w:t xml:space="preserve"> </w:t>
      </w:r>
      <w:r w:rsidR="00DA3168" w:rsidRPr="00DA3168">
        <w:rPr>
          <w:sz w:val="22"/>
          <w:szCs w:val="22"/>
        </w:rPr>
        <w:t>Surrogacy (Regulations) Act 2021.</w:t>
      </w:r>
    </w:p>
    <w:p w14:paraId="10D384B1" w14:textId="77777777" w:rsidR="001C7A52" w:rsidRDefault="001C7A52" w:rsidP="0034591C">
      <w:pPr>
        <w:pStyle w:val="xmsonormal"/>
        <w:rPr>
          <w:sz w:val="22"/>
          <w:szCs w:val="22"/>
        </w:rPr>
      </w:pPr>
    </w:p>
    <w:p w14:paraId="4125B9BA" w14:textId="6CE7CAD8" w:rsidR="00DA3168" w:rsidRDefault="00DA3168" w:rsidP="007E1C84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We continue with </w:t>
      </w:r>
      <w:r w:rsidR="007E1C84">
        <w:rPr>
          <w:sz w:val="22"/>
          <w:szCs w:val="22"/>
        </w:rPr>
        <w:t xml:space="preserve">and article by </w:t>
      </w:r>
      <w:r w:rsidRPr="00DA3168">
        <w:rPr>
          <w:sz w:val="22"/>
          <w:szCs w:val="22"/>
        </w:rPr>
        <w:t>Canan Çetin</w:t>
      </w:r>
      <w:r>
        <w:rPr>
          <w:sz w:val="22"/>
          <w:szCs w:val="22"/>
        </w:rPr>
        <w:t xml:space="preserve"> </w:t>
      </w:r>
      <w:r w:rsidR="007E1C84" w:rsidRPr="007E1C84">
        <w:rPr>
          <w:sz w:val="22"/>
          <w:szCs w:val="22"/>
        </w:rPr>
        <w:t>Senanur Uysal, Kumru Isli and Ceren</w:t>
      </w:r>
      <w:r w:rsidR="007E1C84">
        <w:rPr>
          <w:sz w:val="22"/>
          <w:szCs w:val="22"/>
        </w:rPr>
        <w:t xml:space="preserve"> </w:t>
      </w:r>
      <w:r w:rsidR="007E1C84" w:rsidRPr="007E1C84">
        <w:rPr>
          <w:sz w:val="22"/>
          <w:szCs w:val="22"/>
        </w:rPr>
        <w:t>Öcalan</w:t>
      </w:r>
      <w:r>
        <w:rPr>
          <w:sz w:val="22"/>
          <w:szCs w:val="22"/>
        </w:rPr>
        <w:t xml:space="preserve"> on how </w:t>
      </w:r>
      <w:r w:rsidRPr="00DA3168">
        <w:rPr>
          <w:sz w:val="22"/>
          <w:szCs w:val="22"/>
        </w:rPr>
        <w:t>cultural activities, particularly dance,</w:t>
      </w:r>
      <w:r>
        <w:rPr>
          <w:sz w:val="22"/>
          <w:szCs w:val="22"/>
        </w:rPr>
        <w:t xml:space="preserve"> can </w:t>
      </w:r>
      <w:r w:rsidRPr="00DA3168">
        <w:rPr>
          <w:sz w:val="22"/>
          <w:szCs w:val="22"/>
        </w:rPr>
        <w:t>contribute to migrant integration</w:t>
      </w:r>
      <w:r>
        <w:rPr>
          <w:sz w:val="22"/>
          <w:szCs w:val="22"/>
        </w:rPr>
        <w:t xml:space="preserve">, followed by </w:t>
      </w:r>
      <w:r w:rsidRPr="00DA3168">
        <w:rPr>
          <w:sz w:val="22"/>
          <w:szCs w:val="22"/>
        </w:rPr>
        <w:t>Yang</w:t>
      </w:r>
      <w:r>
        <w:rPr>
          <w:sz w:val="22"/>
          <w:szCs w:val="22"/>
        </w:rPr>
        <w:t xml:space="preserve"> </w:t>
      </w:r>
      <w:r w:rsidRPr="00DA3168">
        <w:rPr>
          <w:sz w:val="22"/>
          <w:szCs w:val="22"/>
        </w:rPr>
        <w:t>LIN</w:t>
      </w:r>
      <w:r>
        <w:rPr>
          <w:sz w:val="22"/>
          <w:szCs w:val="22"/>
        </w:rPr>
        <w:t>’s</w:t>
      </w:r>
      <w:r w:rsidRPr="00DA3168">
        <w:rPr>
          <w:sz w:val="22"/>
          <w:szCs w:val="22"/>
        </w:rPr>
        <w:t xml:space="preserve"> explor</w:t>
      </w:r>
      <w:r>
        <w:rPr>
          <w:sz w:val="22"/>
          <w:szCs w:val="22"/>
        </w:rPr>
        <w:t>ation of</w:t>
      </w:r>
      <w:r w:rsidRPr="00DA3168">
        <w:rPr>
          <w:sz w:val="22"/>
          <w:szCs w:val="22"/>
        </w:rPr>
        <w:t xml:space="preserve"> the growth and</w:t>
      </w:r>
      <w:r>
        <w:rPr>
          <w:sz w:val="22"/>
          <w:szCs w:val="22"/>
        </w:rPr>
        <w:t xml:space="preserve"> </w:t>
      </w:r>
      <w:r w:rsidRPr="00DA3168">
        <w:rPr>
          <w:sz w:val="22"/>
          <w:szCs w:val="22"/>
        </w:rPr>
        <w:t>implementation of online dispute</w:t>
      </w:r>
      <w:r>
        <w:rPr>
          <w:sz w:val="22"/>
          <w:szCs w:val="22"/>
        </w:rPr>
        <w:t xml:space="preserve"> </w:t>
      </w:r>
      <w:r w:rsidRPr="00DA3168">
        <w:rPr>
          <w:sz w:val="22"/>
          <w:szCs w:val="22"/>
        </w:rPr>
        <w:t>resolution within China’s</w:t>
      </w:r>
      <w:r>
        <w:rPr>
          <w:sz w:val="22"/>
          <w:szCs w:val="22"/>
        </w:rPr>
        <w:t xml:space="preserve"> </w:t>
      </w:r>
      <w:r w:rsidRPr="00DA3168">
        <w:rPr>
          <w:sz w:val="22"/>
          <w:szCs w:val="22"/>
        </w:rPr>
        <w:t>e-commerce secto</w:t>
      </w:r>
      <w:r>
        <w:rPr>
          <w:sz w:val="22"/>
          <w:szCs w:val="22"/>
        </w:rPr>
        <w:t xml:space="preserve">r. After which, Chris Thorpe provides a note that </w:t>
      </w:r>
      <w:r w:rsidRPr="00DA3168">
        <w:rPr>
          <w:sz w:val="22"/>
          <w:szCs w:val="22"/>
        </w:rPr>
        <w:t>focuses on</w:t>
      </w:r>
      <w:r>
        <w:rPr>
          <w:sz w:val="22"/>
          <w:szCs w:val="22"/>
        </w:rPr>
        <w:t xml:space="preserve"> </w:t>
      </w:r>
      <w:r w:rsidRPr="00DA3168">
        <w:rPr>
          <w:sz w:val="22"/>
          <w:szCs w:val="22"/>
        </w:rPr>
        <w:t>limited liability partnerships and the related tax regime.</w:t>
      </w:r>
    </w:p>
    <w:p w14:paraId="69E84336" w14:textId="77777777" w:rsidR="00DA3168" w:rsidRDefault="00DA3168" w:rsidP="00DA3168">
      <w:pPr>
        <w:pStyle w:val="xmsonormal"/>
        <w:rPr>
          <w:sz w:val="22"/>
          <w:szCs w:val="22"/>
        </w:rPr>
      </w:pPr>
    </w:p>
    <w:p w14:paraId="2DE2E4B1" w14:textId="20CD6F4B" w:rsidR="00DA3168" w:rsidRDefault="00DA3168" w:rsidP="006A5648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Our book review section contains six offerings. Professor Palmer has reviewed two books: </w:t>
      </w:r>
      <w:r w:rsidRPr="00736DF8">
        <w:rPr>
          <w:i/>
          <w:iCs/>
          <w:sz w:val="22"/>
          <w:szCs w:val="22"/>
        </w:rPr>
        <w:t xml:space="preserve">Facing China: </w:t>
      </w:r>
      <w:r w:rsidRPr="0031185F">
        <w:rPr>
          <w:i/>
          <w:iCs/>
          <w:sz w:val="22"/>
          <w:szCs w:val="22"/>
        </w:rPr>
        <w:t>The</w:t>
      </w:r>
      <w:r w:rsidR="0031185F" w:rsidRPr="0031185F">
        <w:rPr>
          <w:i/>
          <w:iCs/>
          <w:sz w:val="22"/>
          <w:szCs w:val="22"/>
        </w:rPr>
        <w:t xml:space="preserve"> </w:t>
      </w:r>
      <w:r w:rsidRPr="0031185F">
        <w:rPr>
          <w:i/>
          <w:iCs/>
          <w:sz w:val="22"/>
          <w:szCs w:val="22"/>
        </w:rPr>
        <w:t>Prospect for War and Peace</w:t>
      </w:r>
      <w:r w:rsidRPr="00DA3168">
        <w:rPr>
          <w:sz w:val="22"/>
          <w:szCs w:val="22"/>
        </w:rPr>
        <w:t xml:space="preserve"> by Jean-Pierre Cabestan</w:t>
      </w:r>
      <w:r w:rsidR="0031185F">
        <w:rPr>
          <w:sz w:val="22"/>
          <w:szCs w:val="22"/>
        </w:rPr>
        <w:t xml:space="preserve"> and </w:t>
      </w:r>
      <w:r w:rsidR="0031185F" w:rsidRPr="0031185F">
        <w:rPr>
          <w:sz w:val="22"/>
          <w:szCs w:val="22"/>
        </w:rPr>
        <w:t>Albert Hung-yee Chen</w:t>
      </w:r>
      <w:r w:rsidR="0031185F">
        <w:rPr>
          <w:sz w:val="22"/>
          <w:szCs w:val="22"/>
        </w:rPr>
        <w:t xml:space="preserve"> </w:t>
      </w:r>
      <w:r w:rsidR="0031185F" w:rsidRPr="0031185F">
        <w:rPr>
          <w:sz w:val="22"/>
          <w:szCs w:val="22"/>
        </w:rPr>
        <w:t xml:space="preserve">and Po Jen Yap’s </w:t>
      </w:r>
      <w:r w:rsidR="0031185F" w:rsidRPr="0031185F">
        <w:rPr>
          <w:i/>
          <w:iCs/>
          <w:sz w:val="22"/>
          <w:szCs w:val="22"/>
        </w:rPr>
        <w:t>The Constitutional System of the Hong Kong SAR: A Contextual Analysis</w:t>
      </w:r>
      <w:r w:rsidR="0031185F">
        <w:rPr>
          <w:sz w:val="22"/>
          <w:szCs w:val="22"/>
        </w:rPr>
        <w:t xml:space="preserve">. </w:t>
      </w:r>
      <w:r w:rsidR="0031185F" w:rsidRPr="0031185F">
        <w:rPr>
          <w:sz w:val="22"/>
          <w:szCs w:val="22"/>
        </w:rPr>
        <w:t>Johannes San Miguel Giralt</w:t>
      </w:r>
      <w:r w:rsidR="0031185F">
        <w:rPr>
          <w:sz w:val="22"/>
          <w:szCs w:val="22"/>
        </w:rPr>
        <w:t xml:space="preserve"> </w:t>
      </w:r>
      <w:r w:rsidR="00736DF8">
        <w:rPr>
          <w:sz w:val="22"/>
          <w:szCs w:val="22"/>
        </w:rPr>
        <w:t>p</w:t>
      </w:r>
      <w:r w:rsidR="00821B1D">
        <w:rPr>
          <w:sz w:val="22"/>
          <w:szCs w:val="22"/>
        </w:rPr>
        <w:t xml:space="preserve">uts forward </w:t>
      </w:r>
      <w:r w:rsidR="00736DF8">
        <w:rPr>
          <w:sz w:val="22"/>
          <w:szCs w:val="22"/>
        </w:rPr>
        <w:t>his</w:t>
      </w:r>
      <w:r w:rsidR="00821B1D">
        <w:rPr>
          <w:sz w:val="22"/>
          <w:szCs w:val="22"/>
        </w:rPr>
        <w:t xml:space="preserve"> thoughts on</w:t>
      </w:r>
      <w:r w:rsidR="0031185F" w:rsidRPr="0031185F">
        <w:rPr>
          <w:sz w:val="22"/>
          <w:szCs w:val="22"/>
        </w:rPr>
        <w:t xml:space="preserve"> </w:t>
      </w:r>
      <w:r w:rsidR="0031185F" w:rsidRPr="0031185F">
        <w:rPr>
          <w:i/>
          <w:iCs/>
          <w:sz w:val="22"/>
          <w:szCs w:val="22"/>
        </w:rPr>
        <w:t>Constitutional Change in</w:t>
      </w:r>
      <w:r w:rsidR="0031185F">
        <w:rPr>
          <w:i/>
          <w:iCs/>
          <w:sz w:val="22"/>
          <w:szCs w:val="22"/>
        </w:rPr>
        <w:t xml:space="preserve"> </w:t>
      </w:r>
      <w:r w:rsidR="0031185F" w:rsidRPr="0031185F">
        <w:rPr>
          <w:i/>
          <w:iCs/>
          <w:sz w:val="22"/>
          <w:szCs w:val="22"/>
        </w:rPr>
        <w:t>the Contemporary Socialist World</w:t>
      </w:r>
      <w:r w:rsidR="0031185F" w:rsidRPr="0031185F">
        <w:rPr>
          <w:sz w:val="22"/>
          <w:szCs w:val="22"/>
        </w:rPr>
        <w:t xml:space="preserve"> by</w:t>
      </w:r>
      <w:r w:rsidR="0031185F">
        <w:rPr>
          <w:sz w:val="22"/>
          <w:szCs w:val="22"/>
        </w:rPr>
        <w:t xml:space="preserve"> </w:t>
      </w:r>
      <w:r w:rsidR="0031185F" w:rsidRPr="0031185F">
        <w:rPr>
          <w:sz w:val="22"/>
          <w:szCs w:val="22"/>
        </w:rPr>
        <w:t>Ngoc Son Bui</w:t>
      </w:r>
      <w:r w:rsidR="0031185F">
        <w:rPr>
          <w:sz w:val="22"/>
          <w:szCs w:val="22"/>
        </w:rPr>
        <w:t xml:space="preserve">, and </w:t>
      </w:r>
      <w:r w:rsidR="0031185F" w:rsidRPr="0031185F">
        <w:rPr>
          <w:sz w:val="22"/>
          <w:szCs w:val="22"/>
        </w:rPr>
        <w:t xml:space="preserve">Patricia Ng </w:t>
      </w:r>
      <w:r w:rsidR="00FC0892">
        <w:rPr>
          <w:sz w:val="22"/>
          <w:szCs w:val="22"/>
        </w:rPr>
        <w:t xml:space="preserve">presents her response to </w:t>
      </w:r>
      <w:r w:rsidR="0031185F" w:rsidRPr="006A5648">
        <w:rPr>
          <w:i/>
          <w:iCs/>
          <w:sz w:val="22"/>
          <w:szCs w:val="22"/>
        </w:rPr>
        <w:t>Lawyers</w:t>
      </w:r>
      <w:r w:rsidR="00FC0892" w:rsidRPr="006A5648">
        <w:rPr>
          <w:i/>
          <w:iCs/>
          <w:sz w:val="22"/>
          <w:szCs w:val="22"/>
        </w:rPr>
        <w:t xml:space="preserve"> for the Poor: Legal Advice, Voluntary Action, and Citizenship in England</w:t>
      </w:r>
      <w:r w:rsidR="00FC0892" w:rsidRPr="00FC0892">
        <w:rPr>
          <w:sz w:val="22"/>
          <w:szCs w:val="22"/>
        </w:rPr>
        <w:t>,</w:t>
      </w:r>
      <w:r w:rsidR="00FC0892">
        <w:rPr>
          <w:sz w:val="22"/>
          <w:szCs w:val="22"/>
        </w:rPr>
        <w:t xml:space="preserve"> </w:t>
      </w:r>
      <w:r w:rsidR="00FC0892" w:rsidRPr="00FC0892">
        <w:rPr>
          <w:sz w:val="22"/>
          <w:szCs w:val="22"/>
        </w:rPr>
        <w:t>1890-1990 by Kate Bradley.</w:t>
      </w:r>
      <w:r w:rsidR="006A5648">
        <w:rPr>
          <w:sz w:val="22"/>
          <w:szCs w:val="22"/>
        </w:rPr>
        <w:t xml:space="preserve"> Finally, Marian Roberts </w:t>
      </w:r>
      <w:r w:rsidR="006A5648" w:rsidRPr="006A5648">
        <w:rPr>
          <w:sz w:val="22"/>
          <w:szCs w:val="22"/>
        </w:rPr>
        <w:t xml:space="preserve">discusses </w:t>
      </w:r>
      <w:r w:rsidR="006A5648" w:rsidRPr="00736DF8">
        <w:rPr>
          <w:i/>
          <w:iCs/>
          <w:sz w:val="22"/>
          <w:szCs w:val="22"/>
        </w:rPr>
        <w:t xml:space="preserve">Children’s Voices, </w:t>
      </w:r>
      <w:r w:rsidR="006A5648" w:rsidRPr="006A5648">
        <w:rPr>
          <w:i/>
          <w:iCs/>
          <w:sz w:val="22"/>
          <w:szCs w:val="22"/>
        </w:rPr>
        <w:t>Family Disputes and Child Inclusive Mediation: The Right to be Heard</w:t>
      </w:r>
      <w:r w:rsidR="006A5648" w:rsidRPr="006A5648">
        <w:rPr>
          <w:sz w:val="22"/>
          <w:szCs w:val="22"/>
        </w:rPr>
        <w:t xml:space="preserve"> by</w:t>
      </w:r>
      <w:r w:rsidR="006A5648">
        <w:rPr>
          <w:sz w:val="22"/>
          <w:szCs w:val="22"/>
        </w:rPr>
        <w:t xml:space="preserve"> </w:t>
      </w:r>
      <w:r w:rsidR="006A5648" w:rsidRPr="006A5648">
        <w:rPr>
          <w:sz w:val="22"/>
          <w:szCs w:val="22"/>
        </w:rPr>
        <w:t>Anne Barlow and Jan Ewing.</w:t>
      </w:r>
    </w:p>
    <w:p w14:paraId="20A298EF" w14:textId="77777777" w:rsidR="00BA1CB2" w:rsidRDefault="00BA1CB2" w:rsidP="006A5648">
      <w:pPr>
        <w:pStyle w:val="xmsonormal"/>
        <w:rPr>
          <w:sz w:val="22"/>
          <w:szCs w:val="22"/>
        </w:rPr>
      </w:pPr>
    </w:p>
    <w:p w14:paraId="424E3AD7" w14:textId="2DEDA835" w:rsidR="00BA1CB2" w:rsidRDefault="00BA1CB2" w:rsidP="00282CDA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Next, </w:t>
      </w:r>
      <w:r w:rsidRPr="00BA1CB2">
        <w:rPr>
          <w:sz w:val="22"/>
          <w:szCs w:val="22"/>
        </w:rPr>
        <w:t>Mohamed M Keshavjee offers</w:t>
      </w:r>
      <w:r>
        <w:rPr>
          <w:sz w:val="22"/>
          <w:szCs w:val="22"/>
        </w:rPr>
        <w:t xml:space="preserve"> </w:t>
      </w:r>
      <w:r w:rsidRPr="00BA1CB2">
        <w:rPr>
          <w:sz w:val="22"/>
          <w:szCs w:val="22"/>
        </w:rPr>
        <w:t>a heartfelt tribute</w:t>
      </w:r>
      <w:r w:rsidR="008548C5">
        <w:rPr>
          <w:sz w:val="22"/>
          <w:szCs w:val="22"/>
        </w:rPr>
        <w:t xml:space="preserve"> to </w:t>
      </w:r>
      <w:r w:rsidR="008548C5" w:rsidRPr="008548C5">
        <w:rPr>
          <w:sz w:val="22"/>
          <w:szCs w:val="22"/>
        </w:rPr>
        <w:t>Tony</w:t>
      </w:r>
      <w:r w:rsidR="008548C5">
        <w:rPr>
          <w:sz w:val="22"/>
          <w:szCs w:val="22"/>
        </w:rPr>
        <w:t xml:space="preserve"> </w:t>
      </w:r>
      <w:r w:rsidR="008548C5" w:rsidRPr="008548C5">
        <w:rPr>
          <w:sz w:val="22"/>
          <w:szCs w:val="22"/>
        </w:rPr>
        <w:t>Whatling, who sadly passed away</w:t>
      </w:r>
      <w:r w:rsidR="008548C5">
        <w:rPr>
          <w:sz w:val="22"/>
          <w:szCs w:val="22"/>
        </w:rPr>
        <w:t xml:space="preserve"> </w:t>
      </w:r>
      <w:r w:rsidR="008548C5" w:rsidRPr="008548C5">
        <w:rPr>
          <w:sz w:val="22"/>
          <w:szCs w:val="22"/>
        </w:rPr>
        <w:t>recently</w:t>
      </w:r>
      <w:r w:rsidR="008548C5">
        <w:rPr>
          <w:sz w:val="22"/>
          <w:szCs w:val="22"/>
        </w:rPr>
        <w:t xml:space="preserve">, celebrating </w:t>
      </w:r>
      <w:r w:rsidR="00282CDA">
        <w:rPr>
          <w:sz w:val="22"/>
          <w:szCs w:val="22"/>
        </w:rPr>
        <w:t xml:space="preserve">the </w:t>
      </w:r>
      <w:r w:rsidR="00282CDA" w:rsidRPr="00282CDA">
        <w:rPr>
          <w:sz w:val="22"/>
          <w:szCs w:val="22"/>
        </w:rPr>
        <w:t>dedication Tony gave to</w:t>
      </w:r>
      <w:r w:rsidR="00282CDA">
        <w:rPr>
          <w:sz w:val="22"/>
          <w:szCs w:val="22"/>
        </w:rPr>
        <w:t xml:space="preserve"> </w:t>
      </w:r>
      <w:r w:rsidR="00282CDA" w:rsidRPr="00282CDA">
        <w:rPr>
          <w:sz w:val="22"/>
          <w:szCs w:val="22"/>
        </w:rPr>
        <w:t>the theory and practice of mediation in</w:t>
      </w:r>
      <w:r w:rsidR="00282CDA">
        <w:rPr>
          <w:sz w:val="22"/>
          <w:szCs w:val="22"/>
        </w:rPr>
        <w:t xml:space="preserve"> </w:t>
      </w:r>
      <w:r w:rsidR="00282CDA" w:rsidRPr="00282CDA">
        <w:rPr>
          <w:sz w:val="22"/>
          <w:szCs w:val="22"/>
        </w:rPr>
        <w:t>the United Kingdom and abroad</w:t>
      </w:r>
      <w:r w:rsidR="00282CDA">
        <w:rPr>
          <w:sz w:val="22"/>
          <w:szCs w:val="22"/>
        </w:rPr>
        <w:t>.</w:t>
      </w:r>
    </w:p>
    <w:p w14:paraId="6283E6DB" w14:textId="77777777" w:rsidR="00282CDA" w:rsidRDefault="00282CDA" w:rsidP="00282CDA">
      <w:pPr>
        <w:pStyle w:val="xmsonormal"/>
        <w:rPr>
          <w:sz w:val="22"/>
          <w:szCs w:val="22"/>
        </w:rPr>
      </w:pPr>
    </w:p>
    <w:p w14:paraId="1B2A196A" w14:textId="706C54AA" w:rsidR="00282CDA" w:rsidRDefault="00282CDA" w:rsidP="00B63EEC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 xml:space="preserve">The issue concludes with two contributions in our ground-breaking Visual Law section. First </w:t>
      </w:r>
      <w:r w:rsidR="007E1080" w:rsidRPr="007E1080">
        <w:rPr>
          <w:sz w:val="22"/>
          <w:szCs w:val="22"/>
        </w:rPr>
        <w:t>Salvatore Fasciana investigates</w:t>
      </w:r>
      <w:r w:rsidR="007E1080">
        <w:rPr>
          <w:sz w:val="22"/>
          <w:szCs w:val="22"/>
        </w:rPr>
        <w:t xml:space="preserve"> </w:t>
      </w:r>
      <w:r w:rsidR="007E1080" w:rsidRPr="007E1080">
        <w:rPr>
          <w:sz w:val="22"/>
          <w:szCs w:val="22"/>
        </w:rPr>
        <w:t>the practical use of visual law and</w:t>
      </w:r>
      <w:r w:rsidR="007E1080">
        <w:rPr>
          <w:sz w:val="22"/>
          <w:szCs w:val="22"/>
        </w:rPr>
        <w:t xml:space="preserve"> </w:t>
      </w:r>
      <w:r w:rsidR="007E1080" w:rsidRPr="007E1080">
        <w:rPr>
          <w:sz w:val="22"/>
          <w:szCs w:val="22"/>
        </w:rPr>
        <w:t>legal design in consumer protection</w:t>
      </w:r>
      <w:r w:rsidR="007E1080">
        <w:rPr>
          <w:sz w:val="22"/>
          <w:szCs w:val="22"/>
        </w:rPr>
        <w:t xml:space="preserve"> </w:t>
      </w:r>
      <w:r w:rsidR="007E1080" w:rsidRPr="007E1080">
        <w:rPr>
          <w:sz w:val="22"/>
          <w:szCs w:val="22"/>
        </w:rPr>
        <w:t>within the video game industry</w:t>
      </w:r>
      <w:r w:rsidR="007E1080">
        <w:rPr>
          <w:sz w:val="22"/>
          <w:szCs w:val="22"/>
        </w:rPr>
        <w:t xml:space="preserve">, and then </w:t>
      </w:r>
      <w:r w:rsidR="007E1080" w:rsidRPr="007E1080">
        <w:rPr>
          <w:sz w:val="22"/>
          <w:szCs w:val="22"/>
        </w:rPr>
        <w:t>Lucy Finchett-Maddock</w:t>
      </w:r>
      <w:r w:rsidR="00C97536">
        <w:rPr>
          <w:sz w:val="22"/>
          <w:szCs w:val="22"/>
        </w:rPr>
        <w:t xml:space="preserve">, </w:t>
      </w:r>
      <w:r w:rsidR="00C97536" w:rsidRPr="00C97536">
        <w:rPr>
          <w:sz w:val="22"/>
          <w:szCs w:val="22"/>
        </w:rPr>
        <w:t>Daniel</w:t>
      </w:r>
      <w:r w:rsidR="00C97536">
        <w:rPr>
          <w:sz w:val="22"/>
          <w:szCs w:val="22"/>
        </w:rPr>
        <w:t xml:space="preserve"> </w:t>
      </w:r>
      <w:r w:rsidR="00C97536" w:rsidRPr="00C97536">
        <w:rPr>
          <w:sz w:val="22"/>
          <w:szCs w:val="22"/>
        </w:rPr>
        <w:t>Hignell-Tully and Anders Hultqvist</w:t>
      </w:r>
      <w:r w:rsidR="00C97536">
        <w:rPr>
          <w:sz w:val="22"/>
          <w:szCs w:val="22"/>
        </w:rPr>
        <w:t xml:space="preserve"> </w:t>
      </w:r>
      <w:r w:rsidR="00B968EA">
        <w:rPr>
          <w:sz w:val="22"/>
          <w:szCs w:val="22"/>
        </w:rPr>
        <w:t>report on their workshop</w:t>
      </w:r>
      <w:r w:rsidR="00987EF0">
        <w:rPr>
          <w:sz w:val="22"/>
          <w:szCs w:val="22"/>
        </w:rPr>
        <w:t xml:space="preserve">—part of the </w:t>
      </w:r>
      <w:r w:rsidR="00987EF0" w:rsidRPr="00392201">
        <w:rPr>
          <w:sz w:val="22"/>
          <w:szCs w:val="22"/>
        </w:rPr>
        <w:t>transdisciplinary project</w:t>
      </w:r>
      <w:r w:rsidR="00987EF0">
        <w:rPr>
          <w:sz w:val="22"/>
          <w:szCs w:val="22"/>
        </w:rPr>
        <w:t xml:space="preserve"> </w:t>
      </w:r>
      <w:r w:rsidR="00987EF0" w:rsidRPr="00392201">
        <w:rPr>
          <w:sz w:val="22"/>
          <w:szCs w:val="22"/>
        </w:rPr>
        <w:t>Instrumenting(s)</w:t>
      </w:r>
      <w:r w:rsidR="00987EF0">
        <w:rPr>
          <w:sz w:val="22"/>
          <w:szCs w:val="22"/>
        </w:rPr>
        <w:t>—</w:t>
      </w:r>
      <w:r w:rsidR="00392201">
        <w:rPr>
          <w:sz w:val="22"/>
          <w:szCs w:val="22"/>
        </w:rPr>
        <w:t>marking the 30</w:t>
      </w:r>
      <w:r w:rsidR="00392201" w:rsidRPr="00392201">
        <w:rPr>
          <w:sz w:val="22"/>
          <w:szCs w:val="22"/>
          <w:vertAlign w:val="superscript"/>
        </w:rPr>
        <w:t>th</w:t>
      </w:r>
      <w:r w:rsidR="00392201">
        <w:rPr>
          <w:sz w:val="22"/>
          <w:szCs w:val="22"/>
        </w:rPr>
        <w:t xml:space="preserve"> anniversary of the </w:t>
      </w:r>
      <w:r w:rsidR="00392201" w:rsidRPr="00392201">
        <w:rPr>
          <w:sz w:val="22"/>
          <w:szCs w:val="22"/>
        </w:rPr>
        <w:t>Criminal</w:t>
      </w:r>
      <w:r w:rsidR="00987EF0">
        <w:rPr>
          <w:sz w:val="22"/>
          <w:szCs w:val="22"/>
        </w:rPr>
        <w:t xml:space="preserve"> </w:t>
      </w:r>
      <w:r w:rsidR="00392201" w:rsidRPr="00392201">
        <w:rPr>
          <w:sz w:val="22"/>
          <w:szCs w:val="22"/>
        </w:rPr>
        <w:t>Justice and Public Order Act 1994</w:t>
      </w:r>
      <w:r w:rsidR="00987EF0">
        <w:rPr>
          <w:sz w:val="22"/>
          <w:szCs w:val="22"/>
        </w:rPr>
        <w:t xml:space="preserve">, The event took place in December and </w:t>
      </w:r>
      <w:r w:rsidR="00B63EEC">
        <w:rPr>
          <w:sz w:val="22"/>
          <w:szCs w:val="22"/>
        </w:rPr>
        <w:t>examined</w:t>
      </w:r>
      <w:r w:rsidR="00987EF0">
        <w:rPr>
          <w:sz w:val="22"/>
          <w:szCs w:val="22"/>
        </w:rPr>
        <w:t xml:space="preserve"> the </w:t>
      </w:r>
      <w:r w:rsidR="00B63EEC" w:rsidRPr="00B63EEC">
        <w:rPr>
          <w:sz w:val="22"/>
          <w:szCs w:val="22"/>
        </w:rPr>
        <w:t>relationships between</w:t>
      </w:r>
      <w:r w:rsidR="00B63EEC">
        <w:rPr>
          <w:sz w:val="22"/>
          <w:szCs w:val="22"/>
        </w:rPr>
        <w:t xml:space="preserve"> </w:t>
      </w:r>
      <w:r w:rsidR="00B63EEC" w:rsidRPr="00B63EEC">
        <w:rPr>
          <w:sz w:val="22"/>
          <w:szCs w:val="22"/>
        </w:rPr>
        <w:t>sound, property and law</w:t>
      </w:r>
      <w:r w:rsidR="00B63EEC">
        <w:rPr>
          <w:sz w:val="22"/>
          <w:szCs w:val="22"/>
        </w:rPr>
        <w:t xml:space="preserve">. </w:t>
      </w:r>
    </w:p>
    <w:p w14:paraId="421B190A" w14:textId="77777777" w:rsidR="00B63EEC" w:rsidRDefault="00B63EEC" w:rsidP="00B63EEC">
      <w:pPr>
        <w:pStyle w:val="xmsonormal"/>
        <w:rPr>
          <w:sz w:val="22"/>
          <w:szCs w:val="22"/>
        </w:rPr>
      </w:pPr>
    </w:p>
    <w:p w14:paraId="1FABB09D" w14:textId="1911195F" w:rsidR="00B63EEC" w:rsidRPr="00DA3168" w:rsidRDefault="00B63EEC" w:rsidP="00B63EEC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>We finish, as always, with a round-up of IALS news</w:t>
      </w:r>
      <w:r w:rsidR="00D0190C">
        <w:rPr>
          <w:sz w:val="22"/>
          <w:szCs w:val="22"/>
        </w:rPr>
        <w:t>.</w:t>
      </w:r>
    </w:p>
    <w:sectPr w:rsidR="00B63EEC" w:rsidRPr="00DA3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1C"/>
    <w:rsid w:val="00017114"/>
    <w:rsid w:val="000F182A"/>
    <w:rsid w:val="0018029E"/>
    <w:rsid w:val="001C7A52"/>
    <w:rsid w:val="00260A59"/>
    <w:rsid w:val="00282B10"/>
    <w:rsid w:val="00282CDA"/>
    <w:rsid w:val="0031185F"/>
    <w:rsid w:val="0034591C"/>
    <w:rsid w:val="00392201"/>
    <w:rsid w:val="0052656A"/>
    <w:rsid w:val="00564A66"/>
    <w:rsid w:val="005955E7"/>
    <w:rsid w:val="005A080B"/>
    <w:rsid w:val="005C3D81"/>
    <w:rsid w:val="006A32EE"/>
    <w:rsid w:val="006A3DDC"/>
    <w:rsid w:val="006A5648"/>
    <w:rsid w:val="00736DF8"/>
    <w:rsid w:val="00745977"/>
    <w:rsid w:val="007D05C6"/>
    <w:rsid w:val="007E1080"/>
    <w:rsid w:val="007E1C84"/>
    <w:rsid w:val="00821B1D"/>
    <w:rsid w:val="008548C5"/>
    <w:rsid w:val="008E0826"/>
    <w:rsid w:val="00921FD0"/>
    <w:rsid w:val="00985061"/>
    <w:rsid w:val="00987EF0"/>
    <w:rsid w:val="00B40079"/>
    <w:rsid w:val="00B63EEC"/>
    <w:rsid w:val="00B968EA"/>
    <w:rsid w:val="00BA1CB2"/>
    <w:rsid w:val="00BE2756"/>
    <w:rsid w:val="00C97536"/>
    <w:rsid w:val="00D0190C"/>
    <w:rsid w:val="00D445E4"/>
    <w:rsid w:val="00D461E1"/>
    <w:rsid w:val="00D81D1B"/>
    <w:rsid w:val="00D82AAA"/>
    <w:rsid w:val="00DA3168"/>
    <w:rsid w:val="00DF4EF2"/>
    <w:rsid w:val="00E23BCB"/>
    <w:rsid w:val="00E8560C"/>
    <w:rsid w:val="00F453B1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7ECE"/>
  <w15:chartTrackingRefBased/>
  <w15:docId w15:val="{38CB77C8-4334-4F1F-B0D4-4E5A8E9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4591C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0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8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3</cp:revision>
  <dcterms:created xsi:type="dcterms:W3CDTF">2025-02-12T13:54:00Z</dcterms:created>
  <dcterms:modified xsi:type="dcterms:W3CDTF">2025-02-12T13:55:00Z</dcterms:modified>
</cp:coreProperties>
</file>