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B419" w14:textId="7696660B" w:rsidR="00492B4D" w:rsidRDefault="00F4643A" w:rsidP="00575940">
      <w:pPr>
        <w:spacing w:line="276" w:lineRule="auto"/>
        <w:rPr>
          <w:rFonts w:ascii="Aptos" w:hAnsi="Aptos"/>
          <w:b/>
          <w:bCs/>
        </w:rPr>
      </w:pPr>
      <w:r>
        <w:rPr>
          <w:rFonts w:ascii="Aptos" w:hAnsi="Aptos"/>
          <w:b/>
          <w:bCs/>
        </w:rPr>
        <w:t>The SLSA Board is seeking expressions of interest from universities wishing to host our Annual Conference</w:t>
      </w:r>
      <w:r w:rsidR="000E37F5">
        <w:rPr>
          <w:rFonts w:ascii="Aptos" w:hAnsi="Aptos"/>
          <w:b/>
          <w:bCs/>
        </w:rPr>
        <w:t xml:space="preserve"> 2027 and 2028.</w:t>
      </w:r>
    </w:p>
    <w:p w14:paraId="710FB566" w14:textId="0ECD8773" w:rsidR="00F4643A" w:rsidRDefault="00F4643A" w:rsidP="00575940">
      <w:pPr>
        <w:spacing w:line="276" w:lineRule="auto"/>
        <w:rPr>
          <w:rFonts w:ascii="Aptos" w:hAnsi="Aptos"/>
        </w:rPr>
      </w:pPr>
    </w:p>
    <w:p w14:paraId="7D7D0123" w14:textId="39F7FC4D" w:rsidR="00F4643A" w:rsidRDefault="00F4643A" w:rsidP="00575940">
      <w:pPr>
        <w:spacing w:line="276" w:lineRule="auto"/>
        <w:rPr>
          <w:rFonts w:ascii="Aptos" w:hAnsi="Aptos"/>
        </w:rPr>
      </w:pPr>
      <w:r>
        <w:rPr>
          <w:rFonts w:ascii="Aptos" w:hAnsi="Aptos"/>
        </w:rPr>
        <w:t xml:space="preserve">The conference runs for three days – from lunch on day 1 to lunch on day 3. It usually takes place just before the </w:t>
      </w:r>
      <w:r w:rsidR="000E37F5">
        <w:rPr>
          <w:rFonts w:ascii="Aptos" w:hAnsi="Aptos"/>
        </w:rPr>
        <w:t xml:space="preserve">Spring </w:t>
      </w:r>
      <w:r>
        <w:rPr>
          <w:rFonts w:ascii="Aptos" w:hAnsi="Aptos"/>
        </w:rPr>
        <w:t>break each year, although proposals for alternative dates in early to mid-April will be consi</w:t>
      </w:r>
      <w:r w:rsidRPr="00D83827">
        <w:rPr>
          <w:rFonts w:ascii="Aptos" w:hAnsi="Aptos"/>
        </w:rPr>
        <w:t>dered.</w:t>
      </w:r>
      <w:r w:rsidR="0029663B" w:rsidRPr="00D83827">
        <w:rPr>
          <w:rFonts w:ascii="Aptos" w:hAnsi="Aptos"/>
        </w:rPr>
        <w:t xml:space="preserve"> The call for papers normally opens in</w:t>
      </w:r>
      <w:r w:rsidR="00D83FBE" w:rsidRPr="00D83827">
        <w:rPr>
          <w:rFonts w:ascii="Aptos" w:hAnsi="Aptos"/>
        </w:rPr>
        <w:t xml:space="preserve"> mid-October </w:t>
      </w:r>
      <w:r w:rsidR="0029663B" w:rsidRPr="00D83827">
        <w:rPr>
          <w:rFonts w:ascii="Aptos" w:hAnsi="Aptos"/>
        </w:rPr>
        <w:t xml:space="preserve">and closes </w:t>
      </w:r>
      <w:r w:rsidR="00D83FBE">
        <w:rPr>
          <w:rFonts w:ascii="Aptos" w:hAnsi="Aptos"/>
        </w:rPr>
        <w:t xml:space="preserve"> in  mid-December</w:t>
      </w:r>
      <w:r w:rsidR="00D83827">
        <w:rPr>
          <w:rFonts w:ascii="Aptos" w:hAnsi="Aptos"/>
        </w:rPr>
        <w:t>.</w:t>
      </w:r>
    </w:p>
    <w:p w14:paraId="5C4885AC" w14:textId="77777777" w:rsidR="00F4643A" w:rsidRDefault="00F4643A" w:rsidP="00575940">
      <w:pPr>
        <w:spacing w:line="276" w:lineRule="auto"/>
        <w:rPr>
          <w:rFonts w:ascii="Aptos" w:hAnsi="Aptos"/>
        </w:rPr>
      </w:pPr>
    </w:p>
    <w:p w14:paraId="6E61AA8E" w14:textId="4B5724FE" w:rsidR="00F4643A" w:rsidRDefault="00575940" w:rsidP="00575940">
      <w:pPr>
        <w:spacing w:line="276" w:lineRule="auto"/>
        <w:rPr>
          <w:rFonts w:ascii="Aptos" w:hAnsi="Aptos"/>
        </w:rPr>
      </w:pPr>
      <w:r>
        <w:rPr>
          <w:rFonts w:ascii="Aptos" w:hAnsi="Aptos"/>
          <w:b/>
          <w:bCs/>
        </w:rPr>
        <w:t>C</w:t>
      </w:r>
      <w:r w:rsidR="00F4643A" w:rsidRPr="00575940">
        <w:rPr>
          <w:rFonts w:ascii="Aptos" w:hAnsi="Aptos"/>
          <w:b/>
          <w:bCs/>
        </w:rPr>
        <w:t>riteria for the conference setting are:</w:t>
      </w:r>
    </w:p>
    <w:p w14:paraId="71EA3009" w14:textId="6F639373"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 xml:space="preserve">Capacity to host </w:t>
      </w:r>
      <w:r w:rsidR="00081ED6" w:rsidRPr="001B070E">
        <w:rPr>
          <w:rFonts w:ascii="Aptos" w:hAnsi="Aptos"/>
        </w:rPr>
        <w:t>at least</w:t>
      </w:r>
      <w:r w:rsidRPr="001B070E">
        <w:rPr>
          <w:rFonts w:ascii="Aptos" w:hAnsi="Aptos"/>
        </w:rPr>
        <w:t xml:space="preserve"> 500 </w:t>
      </w:r>
      <w:r w:rsidR="00081ED6" w:rsidRPr="001B070E">
        <w:rPr>
          <w:rFonts w:ascii="Aptos" w:hAnsi="Aptos"/>
        </w:rPr>
        <w:t xml:space="preserve">in-person </w:t>
      </w:r>
      <w:r w:rsidRPr="001B070E">
        <w:rPr>
          <w:rFonts w:ascii="Aptos" w:hAnsi="Aptos"/>
        </w:rPr>
        <w:t>delegates</w:t>
      </w:r>
      <w:r w:rsidR="00081ED6" w:rsidRPr="001B070E">
        <w:rPr>
          <w:rFonts w:ascii="Aptos" w:hAnsi="Aptos"/>
        </w:rPr>
        <w:t>, and be responsive to the possibility of higher delegate numbers, with appropriate plans in place for accommodating additional delegates within the programme</w:t>
      </w:r>
    </w:p>
    <w:p w14:paraId="78444E90" w14:textId="4F334A75"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A range of types of accommodation close to the conference venue, including low-cost accommodation suitable for postgraduate students</w:t>
      </w:r>
    </w:p>
    <w:p w14:paraId="3BE426A4" w14:textId="418996BE"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Approximately 25 good quality seminar rooms within walking distance of each other</w:t>
      </w:r>
    </w:p>
    <w:p w14:paraId="6088FF18" w14:textId="7704DEE5"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A suitably sized lecture theatre for plenary sessions and the AGM</w:t>
      </w:r>
    </w:p>
    <w:p w14:paraId="2D3A12ED" w14:textId="77777777"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 xml:space="preserve">Reliable </w:t>
      </w:r>
      <w:proofErr w:type="spellStart"/>
      <w:r w:rsidRPr="001B070E">
        <w:rPr>
          <w:rFonts w:ascii="Aptos" w:hAnsi="Aptos"/>
        </w:rPr>
        <w:t>WiFi</w:t>
      </w:r>
      <w:proofErr w:type="spellEnd"/>
      <w:r w:rsidRPr="001B070E">
        <w:rPr>
          <w:rFonts w:ascii="Aptos" w:hAnsi="Aptos"/>
        </w:rPr>
        <w:t xml:space="preserve"> in all venues</w:t>
      </w:r>
    </w:p>
    <w:p w14:paraId="293CABC1" w14:textId="77777777"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A central area suitable for registration; publishers’ stands; poster displays; refreshments and lunches; and an SLSA stand</w:t>
      </w:r>
    </w:p>
    <w:p w14:paraId="510B238A" w14:textId="791AC988" w:rsidR="00F4643A" w:rsidRPr="001B070E" w:rsidRDefault="00F4643A" w:rsidP="00575940">
      <w:pPr>
        <w:pStyle w:val="ListParagraph"/>
        <w:numPr>
          <w:ilvl w:val="0"/>
          <w:numId w:val="1"/>
        </w:numPr>
        <w:spacing w:line="276" w:lineRule="auto"/>
        <w:rPr>
          <w:rFonts w:ascii="Aptos" w:hAnsi="Aptos"/>
        </w:rPr>
      </w:pPr>
      <w:r w:rsidRPr="001B070E">
        <w:rPr>
          <w:rFonts w:ascii="Aptos" w:hAnsi="Aptos"/>
        </w:rPr>
        <w:t xml:space="preserve">Two evening events, including a </w:t>
      </w:r>
      <w:r w:rsidR="000E37F5" w:rsidRPr="001B070E">
        <w:rPr>
          <w:rFonts w:ascii="Aptos" w:hAnsi="Aptos"/>
        </w:rPr>
        <w:t xml:space="preserve">reception and a </w:t>
      </w:r>
      <w:r w:rsidRPr="001B070E">
        <w:rPr>
          <w:rFonts w:ascii="Aptos" w:hAnsi="Aptos"/>
        </w:rPr>
        <w:t>conference dinner</w:t>
      </w:r>
    </w:p>
    <w:p w14:paraId="2ECE26A5" w14:textId="60A05302" w:rsidR="00F4643A" w:rsidRPr="009562F8" w:rsidRDefault="00F4643A" w:rsidP="009562F8">
      <w:pPr>
        <w:pStyle w:val="ListParagraph"/>
        <w:numPr>
          <w:ilvl w:val="0"/>
          <w:numId w:val="1"/>
        </w:numPr>
        <w:spacing w:line="276" w:lineRule="auto"/>
        <w:rPr>
          <w:rFonts w:ascii="Aptos" w:hAnsi="Aptos"/>
        </w:rPr>
      </w:pPr>
      <w:r w:rsidRPr="001B070E">
        <w:rPr>
          <w:rFonts w:ascii="Aptos" w:hAnsi="Aptos"/>
        </w:rPr>
        <w:t xml:space="preserve">Effective </w:t>
      </w:r>
      <w:r w:rsidR="00575940" w:rsidRPr="001B070E">
        <w:rPr>
          <w:rFonts w:ascii="Aptos" w:hAnsi="Aptos"/>
        </w:rPr>
        <w:t>provision for disabled</w:t>
      </w:r>
      <w:r w:rsidR="009562F8">
        <w:rPr>
          <w:rFonts w:ascii="Aptos" w:hAnsi="Aptos"/>
        </w:rPr>
        <w:t xml:space="preserve"> conference</w:t>
      </w:r>
      <w:r w:rsidR="00575940" w:rsidRPr="001B070E">
        <w:rPr>
          <w:rFonts w:ascii="Aptos" w:hAnsi="Aptos"/>
        </w:rPr>
        <w:t xml:space="preserve"> attendees, both visible and otherwise (</w:t>
      </w:r>
      <w:r w:rsidR="009562F8">
        <w:rPr>
          <w:rFonts w:ascii="Aptos" w:hAnsi="Aptos"/>
        </w:rPr>
        <w:t xml:space="preserve">in addition to </w:t>
      </w:r>
      <w:r w:rsidR="00575940" w:rsidRPr="001B070E">
        <w:rPr>
          <w:rFonts w:ascii="Aptos" w:hAnsi="Aptos"/>
        </w:rPr>
        <w:t>physical considerations, this may include quiet rooms, sign interpreters, and/or support workers)</w:t>
      </w:r>
      <w:r w:rsidR="004868AB" w:rsidRPr="009562F8">
        <w:rPr>
          <w:rFonts w:ascii="Aptos" w:hAnsi="Aptos"/>
        </w:rPr>
        <w:t xml:space="preserve"> </w:t>
      </w:r>
      <w:r w:rsidRPr="009562F8">
        <w:rPr>
          <w:rFonts w:ascii="Aptos" w:hAnsi="Aptos"/>
        </w:rPr>
        <w:t xml:space="preserve">  </w:t>
      </w:r>
    </w:p>
    <w:p w14:paraId="798F3C25" w14:textId="451F4002" w:rsidR="00E21BEA" w:rsidRDefault="00E21BEA" w:rsidP="00575940">
      <w:pPr>
        <w:pStyle w:val="ListParagraph"/>
        <w:numPr>
          <w:ilvl w:val="0"/>
          <w:numId w:val="1"/>
        </w:numPr>
        <w:spacing w:line="276" w:lineRule="auto"/>
        <w:rPr>
          <w:rFonts w:ascii="Aptos" w:hAnsi="Aptos"/>
        </w:rPr>
      </w:pPr>
      <w:r w:rsidRPr="001B070E">
        <w:rPr>
          <w:rFonts w:ascii="Aptos" w:hAnsi="Aptos"/>
        </w:rPr>
        <w:t>Commitment to provide a limited number of events</w:t>
      </w:r>
      <w:r w:rsidR="009008E3">
        <w:rPr>
          <w:rFonts w:ascii="Aptos" w:hAnsi="Aptos"/>
        </w:rPr>
        <w:t xml:space="preserve"> (</w:t>
      </w:r>
      <w:proofErr w:type="spellStart"/>
      <w:r w:rsidR="009008E3" w:rsidRPr="001B070E">
        <w:rPr>
          <w:rFonts w:ascii="Aptos" w:hAnsi="Aptos"/>
        </w:rPr>
        <w:t>eg.</w:t>
      </w:r>
      <w:proofErr w:type="spellEnd"/>
      <w:r w:rsidR="009008E3" w:rsidRPr="001B070E">
        <w:rPr>
          <w:rFonts w:ascii="Aptos" w:hAnsi="Aptos"/>
        </w:rPr>
        <w:t xml:space="preserve"> poster competition, streamed plenary event</w:t>
      </w:r>
      <w:r w:rsidR="009008E3">
        <w:rPr>
          <w:rFonts w:ascii="Aptos" w:hAnsi="Aptos"/>
        </w:rPr>
        <w:t>)</w:t>
      </w:r>
      <w:r w:rsidRPr="001B070E">
        <w:rPr>
          <w:rFonts w:ascii="Aptos" w:hAnsi="Aptos"/>
        </w:rPr>
        <w:t xml:space="preserve"> accessible on-line during or close to the conference, within reasonable cost.</w:t>
      </w:r>
    </w:p>
    <w:p w14:paraId="116FC29C" w14:textId="33020A5C" w:rsidR="004A132B" w:rsidRPr="001B070E" w:rsidRDefault="004A132B" w:rsidP="00575940">
      <w:pPr>
        <w:pStyle w:val="ListParagraph"/>
        <w:numPr>
          <w:ilvl w:val="0"/>
          <w:numId w:val="1"/>
        </w:numPr>
        <w:spacing w:line="276" w:lineRule="auto"/>
        <w:rPr>
          <w:rFonts w:ascii="Aptos" w:hAnsi="Aptos"/>
        </w:rPr>
      </w:pPr>
      <w:r>
        <w:rPr>
          <w:rFonts w:ascii="Aptos" w:hAnsi="Aptos"/>
        </w:rPr>
        <w:t xml:space="preserve">Commitment to accommodating online participation </w:t>
      </w:r>
      <w:r w:rsidR="009562F8">
        <w:rPr>
          <w:rFonts w:ascii="Aptos" w:hAnsi="Aptos"/>
        </w:rPr>
        <w:t>for</w:t>
      </w:r>
      <w:r>
        <w:rPr>
          <w:rFonts w:ascii="Aptos" w:hAnsi="Aptos"/>
        </w:rPr>
        <w:t xml:space="preserve"> presenters </w:t>
      </w:r>
      <w:r w:rsidR="00597AB1">
        <w:rPr>
          <w:rFonts w:ascii="Aptos" w:hAnsi="Aptos"/>
        </w:rPr>
        <w:t xml:space="preserve">where </w:t>
      </w:r>
      <w:r w:rsidR="009562F8">
        <w:rPr>
          <w:rFonts w:ascii="Aptos" w:hAnsi="Aptos"/>
        </w:rPr>
        <w:t>such a</w:t>
      </w:r>
      <w:r w:rsidR="00597AB1">
        <w:rPr>
          <w:rFonts w:ascii="Aptos" w:hAnsi="Aptos"/>
        </w:rPr>
        <w:t xml:space="preserve"> request</w:t>
      </w:r>
      <w:r w:rsidR="009562F8">
        <w:rPr>
          <w:rFonts w:ascii="Aptos" w:hAnsi="Aptos"/>
        </w:rPr>
        <w:t xml:space="preserve"> is made</w:t>
      </w:r>
      <w:r w:rsidR="00597AB1">
        <w:rPr>
          <w:rFonts w:ascii="Aptos" w:hAnsi="Aptos"/>
        </w:rPr>
        <w:t xml:space="preserve"> as a</w:t>
      </w:r>
      <w:r>
        <w:rPr>
          <w:rFonts w:ascii="Aptos" w:hAnsi="Aptos"/>
        </w:rPr>
        <w:t xml:space="preserve"> reasonable adjustment.</w:t>
      </w:r>
    </w:p>
    <w:p w14:paraId="1FBEBC14" w14:textId="77777777" w:rsidR="00575940" w:rsidRPr="001B070E" w:rsidRDefault="00575940" w:rsidP="00575940">
      <w:pPr>
        <w:spacing w:line="276" w:lineRule="auto"/>
        <w:rPr>
          <w:rFonts w:ascii="Aptos" w:hAnsi="Aptos"/>
        </w:rPr>
      </w:pPr>
    </w:p>
    <w:p w14:paraId="7C6EA716" w14:textId="693301B5" w:rsidR="00575940" w:rsidRPr="001B070E" w:rsidRDefault="00575940" w:rsidP="00575940">
      <w:pPr>
        <w:spacing w:line="276" w:lineRule="auto"/>
        <w:rPr>
          <w:rFonts w:ascii="Aptos" w:hAnsi="Aptos"/>
          <w:b/>
          <w:bCs/>
        </w:rPr>
      </w:pPr>
      <w:r w:rsidRPr="001B070E">
        <w:rPr>
          <w:rFonts w:ascii="Aptos" w:hAnsi="Aptos"/>
          <w:b/>
          <w:bCs/>
        </w:rPr>
        <w:t>Organisational requirements of the conference host are:</w:t>
      </w:r>
    </w:p>
    <w:p w14:paraId="06F5364C" w14:textId="1722B9BA" w:rsidR="00575940" w:rsidRPr="001B070E" w:rsidRDefault="00575940" w:rsidP="00575940">
      <w:pPr>
        <w:pStyle w:val="ListParagraph"/>
        <w:numPr>
          <w:ilvl w:val="0"/>
          <w:numId w:val="2"/>
        </w:numPr>
        <w:spacing w:line="276" w:lineRule="auto"/>
        <w:rPr>
          <w:rFonts w:ascii="Aptos" w:hAnsi="Aptos"/>
        </w:rPr>
      </w:pPr>
      <w:r w:rsidRPr="001B070E">
        <w:rPr>
          <w:rFonts w:ascii="Aptos" w:hAnsi="Aptos"/>
        </w:rPr>
        <w:t>A strong local team of organisers, supported by their head of department, with adequate administrative and finance support</w:t>
      </w:r>
      <w:r w:rsidR="000E37F5" w:rsidRPr="001B070E">
        <w:rPr>
          <w:rFonts w:ascii="Aptos" w:hAnsi="Aptos"/>
        </w:rPr>
        <w:t>, and strong commitment from their University.</w:t>
      </w:r>
    </w:p>
    <w:p w14:paraId="5084E6BD" w14:textId="3C77654B" w:rsidR="000E37F5" w:rsidRPr="001B070E" w:rsidRDefault="000E37F5" w:rsidP="00575940">
      <w:pPr>
        <w:pStyle w:val="ListParagraph"/>
        <w:numPr>
          <w:ilvl w:val="0"/>
          <w:numId w:val="2"/>
        </w:numPr>
        <w:spacing w:line="276" w:lineRule="auto"/>
        <w:rPr>
          <w:rFonts w:ascii="Aptos" w:hAnsi="Aptos"/>
        </w:rPr>
      </w:pPr>
      <w:r w:rsidRPr="001B070E">
        <w:rPr>
          <w:rFonts w:ascii="Aptos" w:hAnsi="Aptos"/>
        </w:rPr>
        <w:t>Ability to work with SLSA PGR Reps to organize a dedicated morning event on Day 1 of the conference</w:t>
      </w:r>
    </w:p>
    <w:p w14:paraId="69FCD724" w14:textId="277AB2A1" w:rsidR="00575940" w:rsidRPr="001B070E" w:rsidRDefault="00575940" w:rsidP="00575940">
      <w:pPr>
        <w:pStyle w:val="ListParagraph"/>
        <w:numPr>
          <w:ilvl w:val="0"/>
          <w:numId w:val="2"/>
        </w:numPr>
        <w:spacing w:line="276" w:lineRule="auto"/>
        <w:rPr>
          <w:rFonts w:ascii="Aptos" w:hAnsi="Aptos"/>
        </w:rPr>
      </w:pPr>
      <w:r w:rsidRPr="001B070E">
        <w:rPr>
          <w:rFonts w:ascii="Aptos" w:hAnsi="Aptos"/>
        </w:rPr>
        <w:t xml:space="preserve">A commitment to the </w:t>
      </w:r>
      <w:hyperlink r:id="rId7" w:history="1">
        <w:r w:rsidRPr="001B070E">
          <w:rPr>
            <w:rStyle w:val="Hyperlink"/>
            <w:rFonts w:ascii="Aptos" w:hAnsi="Aptos"/>
            <w:color w:val="auto"/>
          </w:rPr>
          <w:t>SLSA Equality and Diversity Policy on Conferences</w:t>
        </w:r>
      </w:hyperlink>
      <w:r w:rsidRPr="001B070E">
        <w:rPr>
          <w:rFonts w:ascii="Aptos" w:hAnsi="Aptos"/>
        </w:rPr>
        <w:t xml:space="preserve"> </w:t>
      </w:r>
    </w:p>
    <w:p w14:paraId="3955B1A4" w14:textId="4559DBF9" w:rsidR="00E21BEA" w:rsidRPr="001B070E" w:rsidRDefault="000E37F5" w:rsidP="00E21BEA">
      <w:pPr>
        <w:pStyle w:val="ListParagraph"/>
        <w:numPr>
          <w:ilvl w:val="0"/>
          <w:numId w:val="2"/>
        </w:numPr>
        <w:spacing w:line="276" w:lineRule="auto"/>
        <w:rPr>
          <w:rFonts w:ascii="Aptos" w:hAnsi="Aptos"/>
        </w:rPr>
      </w:pPr>
      <w:r w:rsidRPr="001B070E">
        <w:rPr>
          <w:rFonts w:ascii="Aptos" w:hAnsi="Aptos"/>
        </w:rPr>
        <w:t>A commitment to liaise closely with the SLSA Stream Secretary as regards the timing</w:t>
      </w:r>
      <w:r w:rsidR="00E21BEA" w:rsidRPr="001B070E">
        <w:rPr>
          <w:rFonts w:ascii="Aptos" w:hAnsi="Aptos"/>
        </w:rPr>
        <w:t>,</w:t>
      </w:r>
      <w:r w:rsidRPr="001B070E">
        <w:rPr>
          <w:rFonts w:ascii="Aptos" w:hAnsi="Aptos"/>
        </w:rPr>
        <w:t xml:space="preserve"> scope </w:t>
      </w:r>
      <w:r w:rsidR="00E21BEA" w:rsidRPr="001B070E">
        <w:rPr>
          <w:rFonts w:ascii="Aptos" w:hAnsi="Aptos"/>
        </w:rPr>
        <w:t xml:space="preserve">and outcome </w:t>
      </w:r>
      <w:r w:rsidRPr="001B070E">
        <w:rPr>
          <w:rFonts w:ascii="Aptos" w:hAnsi="Aptos"/>
        </w:rPr>
        <w:t>of calls for Current Topics</w:t>
      </w:r>
      <w:r w:rsidR="00E21BEA" w:rsidRPr="001B070E">
        <w:rPr>
          <w:rFonts w:ascii="Aptos" w:hAnsi="Aptos"/>
        </w:rPr>
        <w:t>,</w:t>
      </w:r>
      <w:r w:rsidRPr="001B070E">
        <w:rPr>
          <w:rFonts w:ascii="Aptos" w:hAnsi="Aptos"/>
        </w:rPr>
        <w:t xml:space="preserve"> </w:t>
      </w:r>
      <w:r w:rsidR="00E21BEA" w:rsidRPr="001B070E">
        <w:rPr>
          <w:rFonts w:ascii="Aptos" w:hAnsi="Aptos"/>
        </w:rPr>
        <w:t>the Call for Papers and any other relevant matters</w:t>
      </w:r>
      <w:r w:rsidR="00D83FBE" w:rsidRPr="001B070E">
        <w:rPr>
          <w:rFonts w:ascii="Aptos" w:hAnsi="Aptos"/>
        </w:rPr>
        <w:t>, including communication to stream convenors and wider SLSA community.</w:t>
      </w:r>
    </w:p>
    <w:p w14:paraId="0DAF398B" w14:textId="71ED57F3" w:rsidR="00575940" w:rsidRPr="001B070E" w:rsidRDefault="00575940" w:rsidP="00575940">
      <w:pPr>
        <w:pStyle w:val="ListParagraph"/>
        <w:numPr>
          <w:ilvl w:val="0"/>
          <w:numId w:val="2"/>
        </w:numPr>
        <w:spacing w:line="276" w:lineRule="auto"/>
        <w:rPr>
          <w:rFonts w:ascii="Aptos" w:hAnsi="Aptos"/>
        </w:rPr>
      </w:pPr>
      <w:r w:rsidRPr="001B070E">
        <w:rPr>
          <w:rFonts w:ascii="Aptos" w:hAnsi="Aptos"/>
        </w:rPr>
        <w:t>An ability to provide a conference website</w:t>
      </w:r>
    </w:p>
    <w:p w14:paraId="678B4F9E" w14:textId="137FE3F3" w:rsidR="00575940" w:rsidRPr="001B070E" w:rsidRDefault="00575940" w:rsidP="00575940">
      <w:pPr>
        <w:pStyle w:val="ListParagraph"/>
        <w:numPr>
          <w:ilvl w:val="0"/>
          <w:numId w:val="2"/>
        </w:numPr>
        <w:spacing w:line="276" w:lineRule="auto"/>
        <w:rPr>
          <w:rFonts w:ascii="Aptos" w:hAnsi="Aptos"/>
        </w:rPr>
      </w:pPr>
      <w:r w:rsidRPr="001B070E">
        <w:rPr>
          <w:rFonts w:ascii="Aptos" w:hAnsi="Aptos"/>
        </w:rPr>
        <w:t>Capacity to promote the conference through local and wider networks</w:t>
      </w:r>
    </w:p>
    <w:p w14:paraId="2C58AF6E" w14:textId="5B2944FF" w:rsidR="0029663B" w:rsidRPr="001B070E" w:rsidRDefault="0029663B" w:rsidP="00575940">
      <w:pPr>
        <w:pStyle w:val="ListParagraph"/>
        <w:numPr>
          <w:ilvl w:val="0"/>
          <w:numId w:val="2"/>
        </w:numPr>
        <w:spacing w:line="276" w:lineRule="auto"/>
        <w:rPr>
          <w:rFonts w:ascii="Aptos" w:hAnsi="Aptos"/>
        </w:rPr>
      </w:pPr>
      <w:r w:rsidRPr="001B070E">
        <w:rPr>
          <w:rFonts w:ascii="Aptos" w:hAnsi="Aptos"/>
        </w:rPr>
        <w:t xml:space="preserve">An ability to open registration for the conference from </w:t>
      </w:r>
      <w:r w:rsidR="00D83FBE" w:rsidRPr="001B070E">
        <w:rPr>
          <w:rFonts w:ascii="Aptos" w:hAnsi="Aptos"/>
        </w:rPr>
        <w:t>mid</w:t>
      </w:r>
      <w:r w:rsidR="00D83827" w:rsidRPr="001B070E">
        <w:rPr>
          <w:rFonts w:ascii="Aptos" w:hAnsi="Aptos"/>
        </w:rPr>
        <w:t>-</w:t>
      </w:r>
      <w:r w:rsidR="00D83FBE" w:rsidRPr="001B070E">
        <w:rPr>
          <w:rFonts w:ascii="Aptos" w:hAnsi="Aptos"/>
        </w:rPr>
        <w:t xml:space="preserve">October, when the Call for Papers opens </w:t>
      </w:r>
      <w:r w:rsidR="00ED2607" w:rsidRPr="001B070E">
        <w:rPr>
          <w:rFonts w:ascii="Aptos" w:hAnsi="Aptos"/>
        </w:rPr>
        <w:t>and close around</w:t>
      </w:r>
      <w:r w:rsidR="00D83827" w:rsidRPr="001B070E">
        <w:rPr>
          <w:rFonts w:ascii="Aptos" w:hAnsi="Aptos"/>
        </w:rPr>
        <w:t xml:space="preserve"> 3 weeks before the conference starts</w:t>
      </w:r>
    </w:p>
    <w:p w14:paraId="18D7BA67" w14:textId="77777777" w:rsidR="00575940" w:rsidRPr="001B070E" w:rsidRDefault="00575940" w:rsidP="00575940">
      <w:pPr>
        <w:spacing w:line="276" w:lineRule="auto"/>
        <w:rPr>
          <w:rFonts w:ascii="Aptos" w:hAnsi="Aptos"/>
        </w:rPr>
      </w:pPr>
    </w:p>
    <w:p w14:paraId="7C6F0285" w14:textId="702BD1B4" w:rsidR="00575940" w:rsidRPr="001B070E" w:rsidRDefault="00575940" w:rsidP="00575940">
      <w:pPr>
        <w:spacing w:line="276" w:lineRule="auto"/>
        <w:rPr>
          <w:rFonts w:ascii="Aptos" w:hAnsi="Aptos"/>
          <w:b/>
          <w:bCs/>
        </w:rPr>
      </w:pPr>
      <w:r w:rsidRPr="001B070E">
        <w:rPr>
          <w:rFonts w:ascii="Aptos" w:hAnsi="Aptos"/>
          <w:b/>
          <w:bCs/>
        </w:rPr>
        <w:t>Budget</w:t>
      </w:r>
      <w:r w:rsidR="002D4871" w:rsidRPr="001B070E">
        <w:rPr>
          <w:rFonts w:ascii="Aptos" w:hAnsi="Aptos"/>
          <w:b/>
          <w:bCs/>
        </w:rPr>
        <w:t xml:space="preserve"> and planning</w:t>
      </w:r>
      <w:r w:rsidRPr="001B070E">
        <w:rPr>
          <w:rFonts w:ascii="Aptos" w:hAnsi="Aptos"/>
          <w:b/>
          <w:bCs/>
        </w:rPr>
        <w:t xml:space="preserve"> requirements of the conference host are:</w:t>
      </w:r>
    </w:p>
    <w:p w14:paraId="47AAA855" w14:textId="63FA32A9" w:rsidR="00575940" w:rsidRPr="001B070E" w:rsidRDefault="00575940" w:rsidP="00081ED6">
      <w:pPr>
        <w:pStyle w:val="ListParagraph"/>
        <w:numPr>
          <w:ilvl w:val="0"/>
          <w:numId w:val="8"/>
        </w:numPr>
        <w:spacing w:line="276" w:lineRule="auto"/>
        <w:rPr>
          <w:rFonts w:ascii="Aptos" w:hAnsi="Aptos"/>
          <w:b/>
          <w:bCs/>
        </w:rPr>
      </w:pPr>
      <w:r w:rsidRPr="001B070E">
        <w:rPr>
          <w:rFonts w:ascii="Aptos" w:hAnsi="Aptos"/>
        </w:rPr>
        <w:lastRenderedPageBreak/>
        <w:t>Competitive pricing of delegate registration packages</w:t>
      </w:r>
      <w:r w:rsidR="000E37F5" w:rsidRPr="001B070E">
        <w:rPr>
          <w:rFonts w:ascii="Aptos" w:hAnsi="Aptos"/>
        </w:rPr>
        <w:t>,</w:t>
      </w:r>
      <w:r w:rsidR="00E21BEA" w:rsidRPr="001B070E">
        <w:rPr>
          <w:rFonts w:ascii="Aptos" w:hAnsi="Aptos"/>
        </w:rPr>
        <w:t xml:space="preserve"> </w:t>
      </w:r>
      <w:r w:rsidR="000E37F5" w:rsidRPr="001B070E">
        <w:rPr>
          <w:rFonts w:ascii="Aptos" w:hAnsi="Aptos"/>
        </w:rPr>
        <w:t>including differentiated pricing for PGRs, early-bird registrations, and SLSA members/non-members</w:t>
      </w:r>
      <w:r w:rsidR="00E21BEA" w:rsidRPr="001B070E">
        <w:rPr>
          <w:rFonts w:ascii="Aptos" w:hAnsi="Aptos"/>
        </w:rPr>
        <w:t xml:space="preserve">. Prices will be agreed with the SLSA and determined by rates at recent conferences, general cost inflation, and the association’s commitment to </w:t>
      </w:r>
      <w:r w:rsidR="00D83827" w:rsidRPr="001B070E">
        <w:rPr>
          <w:rFonts w:ascii="Aptos" w:hAnsi="Aptos"/>
        </w:rPr>
        <w:t>accessibility</w:t>
      </w:r>
      <w:r w:rsidR="00E21BEA" w:rsidRPr="001B070E">
        <w:rPr>
          <w:rFonts w:ascii="Aptos" w:hAnsi="Aptos"/>
        </w:rPr>
        <w:t xml:space="preserve"> across all career stages.</w:t>
      </w:r>
    </w:p>
    <w:p w14:paraId="46CB09AC" w14:textId="1F1A199F" w:rsidR="00081ED6" w:rsidRPr="001B070E" w:rsidRDefault="00081ED6" w:rsidP="00081ED6">
      <w:pPr>
        <w:pStyle w:val="ListParagraph"/>
        <w:numPr>
          <w:ilvl w:val="0"/>
          <w:numId w:val="8"/>
        </w:numPr>
        <w:spacing w:line="276" w:lineRule="auto"/>
        <w:rPr>
          <w:rFonts w:ascii="Aptos" w:hAnsi="Aptos"/>
          <w:b/>
          <w:bCs/>
        </w:rPr>
      </w:pPr>
      <w:r w:rsidRPr="001B070E">
        <w:rPr>
          <w:rFonts w:ascii="Aptos" w:hAnsi="Aptos"/>
        </w:rPr>
        <w:t>Recognition that a</w:t>
      </w:r>
      <w:r w:rsidR="00423FBF">
        <w:rPr>
          <w:rFonts w:ascii="Aptos" w:hAnsi="Aptos"/>
        </w:rPr>
        <w:t xml:space="preserve"> Memorandum of Understanding</w:t>
      </w:r>
      <w:r w:rsidRPr="001B070E">
        <w:rPr>
          <w:rFonts w:ascii="Aptos" w:hAnsi="Aptos"/>
        </w:rPr>
        <w:t xml:space="preserve"> will be entered into between SLSA and the host institution once an initial budget has been prepared, </w:t>
      </w:r>
      <w:r w:rsidR="002D4871" w:rsidRPr="001B070E">
        <w:rPr>
          <w:rFonts w:ascii="Aptos" w:hAnsi="Aptos"/>
        </w:rPr>
        <w:t xml:space="preserve">requiring </w:t>
      </w:r>
      <w:r w:rsidRPr="001B070E">
        <w:rPr>
          <w:rFonts w:ascii="Aptos" w:hAnsi="Aptos"/>
        </w:rPr>
        <w:t xml:space="preserve">the institution to transfer </w:t>
      </w:r>
      <w:r w:rsidR="00DA12BB">
        <w:rPr>
          <w:rFonts w:ascii="Aptos" w:hAnsi="Aptos"/>
        </w:rPr>
        <w:t xml:space="preserve">all </w:t>
      </w:r>
      <w:r w:rsidRPr="001B070E">
        <w:rPr>
          <w:rFonts w:ascii="Aptos" w:hAnsi="Aptos"/>
        </w:rPr>
        <w:t xml:space="preserve">of the surplus from the conference to the SLSA and to deliver the conference in line with </w:t>
      </w:r>
      <w:r w:rsidR="002D4871" w:rsidRPr="001B070E">
        <w:rPr>
          <w:rFonts w:ascii="Aptos" w:hAnsi="Aptos"/>
        </w:rPr>
        <w:t>commitments made in the Expression of Interest.</w:t>
      </w:r>
      <w:r w:rsidRPr="001B070E">
        <w:rPr>
          <w:rFonts w:ascii="Aptos" w:hAnsi="Aptos"/>
        </w:rPr>
        <w:t xml:space="preserve"> </w:t>
      </w:r>
    </w:p>
    <w:p w14:paraId="24FC69CF" w14:textId="1C862E49" w:rsidR="00006B55" w:rsidRPr="001B070E" w:rsidRDefault="00006B55" w:rsidP="00006B55">
      <w:pPr>
        <w:pStyle w:val="ListParagraph"/>
        <w:numPr>
          <w:ilvl w:val="0"/>
          <w:numId w:val="3"/>
        </w:numPr>
        <w:spacing w:line="276" w:lineRule="auto"/>
        <w:rPr>
          <w:rFonts w:ascii="Aptos" w:hAnsi="Aptos"/>
          <w:b/>
          <w:bCs/>
        </w:rPr>
      </w:pPr>
      <w:r w:rsidRPr="001B070E">
        <w:rPr>
          <w:rFonts w:ascii="Aptos" w:hAnsi="Aptos"/>
        </w:rPr>
        <w:t>An itemised budget prepared on the presumption that all delegates are registered at the early-bird rate and inclusive of a 10% contingency.</w:t>
      </w:r>
    </w:p>
    <w:p w14:paraId="1556D28C" w14:textId="6B793271" w:rsidR="00575940" w:rsidRPr="001B070E" w:rsidRDefault="001A2078" w:rsidP="00575940">
      <w:pPr>
        <w:pStyle w:val="ListParagraph"/>
        <w:numPr>
          <w:ilvl w:val="0"/>
          <w:numId w:val="3"/>
        </w:numPr>
        <w:spacing w:line="276" w:lineRule="auto"/>
        <w:rPr>
          <w:rFonts w:ascii="Aptos" w:hAnsi="Aptos"/>
          <w:b/>
          <w:bCs/>
        </w:rPr>
      </w:pPr>
      <w:r w:rsidRPr="001B070E">
        <w:rPr>
          <w:rFonts w:ascii="Aptos" w:hAnsi="Aptos"/>
        </w:rPr>
        <w:t>A projected surplus of at least £</w:t>
      </w:r>
      <w:r w:rsidR="00B5486F">
        <w:rPr>
          <w:rFonts w:ascii="Aptos" w:hAnsi="Aptos"/>
        </w:rPr>
        <w:t>30</w:t>
      </w:r>
      <w:r w:rsidRPr="001B070E">
        <w:rPr>
          <w:rFonts w:ascii="Aptos" w:hAnsi="Aptos"/>
        </w:rPr>
        <w:t>,000</w:t>
      </w:r>
      <w:r w:rsidR="00006B55" w:rsidRPr="001B070E">
        <w:rPr>
          <w:rFonts w:ascii="Aptos" w:hAnsi="Aptos"/>
        </w:rPr>
        <w:t xml:space="preserve"> (after contingency)</w:t>
      </w:r>
      <w:r w:rsidRPr="001B070E">
        <w:rPr>
          <w:rFonts w:ascii="Aptos" w:hAnsi="Aptos"/>
        </w:rPr>
        <w:t xml:space="preserve"> </w:t>
      </w:r>
      <w:r w:rsidR="00006B55" w:rsidRPr="001B070E">
        <w:rPr>
          <w:rFonts w:ascii="Aptos" w:hAnsi="Aptos"/>
        </w:rPr>
        <w:t>to be donated by the hosts to the SLSA after the conference</w:t>
      </w:r>
      <w:r w:rsidR="00746A93" w:rsidRPr="001B070E">
        <w:rPr>
          <w:rFonts w:ascii="Aptos" w:hAnsi="Aptos"/>
        </w:rPr>
        <w:t>, noting that in recent years actual donations have been in the region of £45,000</w:t>
      </w:r>
    </w:p>
    <w:p w14:paraId="357ECEF0" w14:textId="69F0B3FC" w:rsidR="000E37F5" w:rsidRPr="001B070E" w:rsidRDefault="000E37F5" w:rsidP="00575940">
      <w:pPr>
        <w:pStyle w:val="ListParagraph"/>
        <w:numPr>
          <w:ilvl w:val="0"/>
          <w:numId w:val="3"/>
        </w:numPr>
        <w:spacing w:line="276" w:lineRule="auto"/>
        <w:rPr>
          <w:rFonts w:ascii="Aptos" w:hAnsi="Aptos"/>
          <w:b/>
          <w:bCs/>
        </w:rPr>
      </w:pPr>
      <w:r w:rsidRPr="001B070E">
        <w:rPr>
          <w:rFonts w:ascii="Aptos" w:hAnsi="Aptos"/>
        </w:rPr>
        <w:t>Administration of a bursary scheme</w:t>
      </w:r>
      <w:r w:rsidR="003C39D2" w:rsidRPr="001B070E">
        <w:rPr>
          <w:rFonts w:ascii="Aptos" w:hAnsi="Aptos"/>
        </w:rPr>
        <w:t xml:space="preserve"> </w:t>
      </w:r>
      <w:r w:rsidRPr="001B070E">
        <w:rPr>
          <w:rFonts w:ascii="Aptos" w:hAnsi="Aptos"/>
        </w:rPr>
        <w:t>for the conference</w:t>
      </w:r>
      <w:r w:rsidR="003C39D2" w:rsidRPr="001B070E">
        <w:rPr>
          <w:rFonts w:ascii="Aptos" w:hAnsi="Aptos"/>
        </w:rPr>
        <w:t xml:space="preserve"> in consultation with the SLSA Board </w:t>
      </w:r>
    </w:p>
    <w:p w14:paraId="4F0173C1" w14:textId="77777777" w:rsidR="002D4871" w:rsidRPr="001B070E" w:rsidRDefault="000E37F5" w:rsidP="002D4871">
      <w:pPr>
        <w:pStyle w:val="ListParagraph"/>
        <w:numPr>
          <w:ilvl w:val="0"/>
          <w:numId w:val="2"/>
        </w:numPr>
        <w:spacing w:line="276" w:lineRule="auto"/>
        <w:rPr>
          <w:rFonts w:ascii="Aptos" w:hAnsi="Aptos"/>
          <w:b/>
          <w:bCs/>
        </w:rPr>
      </w:pPr>
      <w:r w:rsidRPr="001B070E">
        <w:rPr>
          <w:rFonts w:ascii="Aptos" w:hAnsi="Aptos"/>
        </w:rPr>
        <w:t>A requirement to keep the SLSA Board briefed on the detail of the budget</w:t>
      </w:r>
      <w:r w:rsidR="002D4871" w:rsidRPr="001B070E">
        <w:rPr>
          <w:rFonts w:ascii="Aptos" w:hAnsi="Aptos"/>
        </w:rPr>
        <w:t xml:space="preserve"> and conference preparations</w:t>
      </w:r>
      <w:r w:rsidRPr="001B070E">
        <w:rPr>
          <w:rFonts w:ascii="Aptos" w:hAnsi="Aptos"/>
        </w:rPr>
        <w:t xml:space="preserve"> in the year leading up to the conference, through papers submitted to regular Board meetings</w:t>
      </w:r>
      <w:r w:rsidR="002D4871" w:rsidRPr="001B070E">
        <w:rPr>
          <w:rFonts w:ascii="Aptos" w:hAnsi="Aptos"/>
        </w:rPr>
        <w:t>.</w:t>
      </w:r>
    </w:p>
    <w:p w14:paraId="71C1C701" w14:textId="00B8B33F" w:rsidR="00CD344C" w:rsidRPr="001B070E" w:rsidRDefault="002D4871" w:rsidP="00575940">
      <w:pPr>
        <w:pStyle w:val="ListParagraph"/>
        <w:numPr>
          <w:ilvl w:val="0"/>
          <w:numId w:val="3"/>
        </w:numPr>
        <w:spacing w:line="276" w:lineRule="auto"/>
        <w:rPr>
          <w:rFonts w:ascii="Aptos" w:hAnsi="Aptos"/>
        </w:rPr>
      </w:pPr>
      <w:r w:rsidRPr="001B070E">
        <w:rPr>
          <w:rFonts w:ascii="Aptos" w:hAnsi="Aptos"/>
        </w:rPr>
        <w:t xml:space="preserve">A willingness to adapt, within reason, conference hosting </w:t>
      </w:r>
      <w:r w:rsidR="00CD344C" w:rsidRPr="001B070E">
        <w:rPr>
          <w:rFonts w:ascii="Aptos" w:hAnsi="Aptos"/>
        </w:rPr>
        <w:t>arrangements</w:t>
      </w:r>
      <w:r w:rsidRPr="001B070E">
        <w:rPr>
          <w:rFonts w:ascii="Aptos" w:hAnsi="Aptos"/>
        </w:rPr>
        <w:t xml:space="preserve"> </w:t>
      </w:r>
      <w:r w:rsidR="00CD344C" w:rsidRPr="001B070E">
        <w:rPr>
          <w:rFonts w:ascii="Aptos" w:hAnsi="Aptos"/>
        </w:rPr>
        <w:t xml:space="preserve">if required to </w:t>
      </w:r>
      <w:r w:rsidRPr="001B070E">
        <w:rPr>
          <w:rFonts w:ascii="Aptos" w:hAnsi="Aptos"/>
        </w:rPr>
        <w:t>reflect ch</w:t>
      </w:r>
      <w:r w:rsidR="00CD344C" w:rsidRPr="001B070E">
        <w:rPr>
          <w:rFonts w:ascii="Aptos" w:hAnsi="Aptos"/>
        </w:rPr>
        <w:t>anging circumstances arising in the course of planning, including reflecting accessibility needs of conference delegates.</w:t>
      </w:r>
    </w:p>
    <w:p w14:paraId="5EDBE9B2" w14:textId="2D6E0BA7" w:rsidR="000E37F5" w:rsidRDefault="000E37F5" w:rsidP="00575940">
      <w:pPr>
        <w:pStyle w:val="ListParagraph"/>
        <w:numPr>
          <w:ilvl w:val="0"/>
          <w:numId w:val="3"/>
        </w:numPr>
        <w:spacing w:line="276" w:lineRule="auto"/>
        <w:rPr>
          <w:rFonts w:ascii="Aptos" w:hAnsi="Aptos"/>
        </w:rPr>
      </w:pPr>
      <w:r w:rsidRPr="001B070E">
        <w:rPr>
          <w:rFonts w:ascii="Aptos" w:hAnsi="Aptos"/>
        </w:rPr>
        <w:t xml:space="preserve">A requirement beyond that to notify the Board, through the SLSA Chair and Treasurer, of any matters of concern in relation to costs and/or conference income as they arise, before and after the conference. </w:t>
      </w:r>
    </w:p>
    <w:p w14:paraId="3D923FFE" w14:textId="1AB1D22F" w:rsidR="00DE3729" w:rsidRPr="001B070E" w:rsidRDefault="00DE3729" w:rsidP="00575940">
      <w:pPr>
        <w:pStyle w:val="ListParagraph"/>
        <w:numPr>
          <w:ilvl w:val="0"/>
          <w:numId w:val="3"/>
        </w:numPr>
        <w:spacing w:line="276" w:lineRule="auto"/>
        <w:rPr>
          <w:rFonts w:ascii="Aptos" w:hAnsi="Aptos"/>
        </w:rPr>
      </w:pPr>
      <w:r>
        <w:rPr>
          <w:rFonts w:ascii="Aptos" w:hAnsi="Aptos"/>
        </w:rPr>
        <w:t>An understanding that</w:t>
      </w:r>
      <w:r w:rsidR="00DA12BB">
        <w:rPr>
          <w:rFonts w:ascii="Aptos" w:hAnsi="Aptos"/>
        </w:rPr>
        <w:t xml:space="preserve"> any</w:t>
      </w:r>
      <w:r>
        <w:rPr>
          <w:rFonts w:ascii="Aptos" w:hAnsi="Aptos"/>
        </w:rPr>
        <w:t xml:space="preserve"> requests for </w:t>
      </w:r>
      <w:r w:rsidR="00DA12BB">
        <w:rPr>
          <w:rFonts w:ascii="Aptos" w:hAnsi="Aptos"/>
        </w:rPr>
        <w:t xml:space="preserve">the </w:t>
      </w:r>
      <w:r w:rsidR="00DA12BB" w:rsidRPr="00DA12BB">
        <w:rPr>
          <w:rFonts w:ascii="Aptos" w:hAnsi="Aptos"/>
        </w:rPr>
        <w:t xml:space="preserve">SLSA </w:t>
      </w:r>
      <w:r w:rsidR="00DA12BB">
        <w:rPr>
          <w:rFonts w:ascii="Aptos" w:hAnsi="Aptos"/>
        </w:rPr>
        <w:t xml:space="preserve">to </w:t>
      </w:r>
      <w:r w:rsidR="00DA12BB" w:rsidRPr="00DA12BB">
        <w:rPr>
          <w:rFonts w:ascii="Aptos" w:hAnsi="Aptos"/>
        </w:rPr>
        <w:t>invest in socio-legal studies at the host University</w:t>
      </w:r>
      <w:r w:rsidR="006F5FDE">
        <w:rPr>
          <w:rFonts w:ascii="Aptos" w:hAnsi="Aptos"/>
        </w:rPr>
        <w:t>,</w:t>
      </w:r>
      <w:r w:rsidR="00DA12BB" w:rsidRPr="00DA12BB">
        <w:rPr>
          <w:rFonts w:ascii="Aptos" w:hAnsi="Aptos"/>
        </w:rPr>
        <w:t xml:space="preserve"> by forgoing a portion of the surplus</w:t>
      </w:r>
      <w:r w:rsidR="006F5FDE">
        <w:rPr>
          <w:rFonts w:ascii="Aptos" w:hAnsi="Aptos"/>
        </w:rPr>
        <w:t>,</w:t>
      </w:r>
      <w:r w:rsidR="00DA12BB" w:rsidRPr="00DA12BB">
        <w:rPr>
          <w:rFonts w:ascii="Aptos" w:hAnsi="Aptos"/>
        </w:rPr>
        <w:t xml:space="preserve"> </w:t>
      </w:r>
      <w:r>
        <w:rPr>
          <w:rFonts w:ascii="Aptos" w:hAnsi="Aptos"/>
        </w:rPr>
        <w:t xml:space="preserve">will only be permitted if included in the EoI, and in line with the guidance set out in Box 3 of the </w:t>
      </w:r>
      <w:r w:rsidRPr="00DE3729">
        <w:rPr>
          <w:rFonts w:ascii="Aptos" w:hAnsi="Aptos"/>
        </w:rPr>
        <w:t>Expression of interest form</w:t>
      </w:r>
      <w:r>
        <w:rPr>
          <w:rFonts w:ascii="Aptos" w:hAnsi="Aptos"/>
        </w:rPr>
        <w:t xml:space="preserve"> (below)</w:t>
      </w:r>
    </w:p>
    <w:p w14:paraId="32F00462" w14:textId="77777777" w:rsidR="002D4871" w:rsidRPr="002D4871" w:rsidRDefault="002D4871" w:rsidP="002D4871">
      <w:pPr>
        <w:spacing w:line="276" w:lineRule="auto"/>
        <w:rPr>
          <w:rFonts w:ascii="Aptos" w:hAnsi="Aptos"/>
          <w:b/>
          <w:bCs/>
          <w:highlight w:val="green"/>
        </w:rPr>
      </w:pPr>
    </w:p>
    <w:p w14:paraId="641F7B8E" w14:textId="6BAB5388" w:rsidR="008C25DC" w:rsidRDefault="008C25DC" w:rsidP="00575940">
      <w:pPr>
        <w:spacing w:line="276" w:lineRule="auto"/>
        <w:rPr>
          <w:rFonts w:ascii="Aptos" w:hAnsi="Aptos"/>
        </w:rPr>
      </w:pPr>
      <w:r w:rsidRPr="008C25DC">
        <w:rPr>
          <w:rFonts w:ascii="Aptos" w:hAnsi="Aptos"/>
        </w:rPr>
        <w:t xml:space="preserve">The SLSA </w:t>
      </w:r>
      <w:r w:rsidR="00E21BEA">
        <w:rPr>
          <w:rFonts w:ascii="Aptos" w:hAnsi="Aptos"/>
        </w:rPr>
        <w:t>P</w:t>
      </w:r>
      <w:r w:rsidR="00E21BEA" w:rsidRPr="008C25DC">
        <w:rPr>
          <w:rFonts w:ascii="Aptos" w:hAnsi="Aptos"/>
        </w:rPr>
        <w:t xml:space="preserve">ublisher </w:t>
      </w:r>
      <w:r w:rsidR="00E21BEA">
        <w:rPr>
          <w:rFonts w:ascii="Aptos" w:hAnsi="Aptos"/>
        </w:rPr>
        <w:t>L</w:t>
      </w:r>
      <w:r w:rsidR="00E21BEA" w:rsidRPr="008C25DC">
        <w:rPr>
          <w:rFonts w:ascii="Aptos" w:hAnsi="Aptos"/>
        </w:rPr>
        <w:t xml:space="preserve">iaison </w:t>
      </w:r>
      <w:r w:rsidRPr="008C25DC">
        <w:rPr>
          <w:rFonts w:ascii="Aptos" w:hAnsi="Aptos"/>
        </w:rPr>
        <w:t xml:space="preserve">officer will </w:t>
      </w:r>
      <w:r>
        <w:rPr>
          <w:rFonts w:ascii="Aptos" w:hAnsi="Aptos"/>
        </w:rPr>
        <w:t>assist</w:t>
      </w:r>
      <w:r w:rsidRPr="008C25DC">
        <w:rPr>
          <w:rFonts w:ascii="Aptos" w:hAnsi="Aptos"/>
        </w:rPr>
        <w:t xml:space="preserve"> in liaising with publishe</w:t>
      </w:r>
      <w:r w:rsidR="00E21BEA">
        <w:rPr>
          <w:rFonts w:ascii="Aptos" w:hAnsi="Aptos"/>
        </w:rPr>
        <w:t>r</w:t>
      </w:r>
      <w:r w:rsidRPr="008C25DC">
        <w:rPr>
          <w:rFonts w:ascii="Aptos" w:hAnsi="Aptos"/>
        </w:rPr>
        <w:t>s and organising sponsorship packages.</w:t>
      </w:r>
      <w:r w:rsidR="00711B62">
        <w:rPr>
          <w:rFonts w:ascii="Aptos" w:hAnsi="Aptos"/>
        </w:rPr>
        <w:t xml:space="preserve"> </w:t>
      </w:r>
      <w:r>
        <w:rPr>
          <w:rFonts w:ascii="Aptos" w:hAnsi="Aptos"/>
        </w:rPr>
        <w:t xml:space="preserve">Anyone wishing to have an informal chat about the possibility of hosting the conference should contact the SLSA Board by emailing </w:t>
      </w:r>
      <w:r w:rsidR="00514BE7">
        <w:rPr>
          <w:rFonts w:ascii="Aptos" w:hAnsi="Aptos"/>
        </w:rPr>
        <w:t>SLSA Chair</w:t>
      </w:r>
      <w:r w:rsidR="00514BE7">
        <w:rPr>
          <w:rFonts w:ascii="Aptos" w:hAnsi="Aptos"/>
        </w:rPr>
        <w:t xml:space="preserve"> Professor John Harrington</w:t>
      </w:r>
      <w:r w:rsidR="00BA5D81">
        <w:rPr>
          <w:rFonts w:ascii="Aptos" w:hAnsi="Aptos"/>
        </w:rPr>
        <w:t xml:space="preserve"> </w:t>
      </w:r>
      <w:hyperlink r:id="rId8" w:history="1">
        <w:r w:rsidR="00BA5D81" w:rsidRPr="00A61280">
          <w:rPr>
            <w:rStyle w:val="Hyperlink"/>
            <w:rFonts w:ascii="Aptos" w:hAnsi="Aptos"/>
          </w:rPr>
          <w:t>HarringtonJ3@cardiff.ac.uk</w:t>
        </w:r>
      </w:hyperlink>
      <w:r>
        <w:rPr>
          <w:rFonts w:ascii="Aptos" w:hAnsi="Aptos"/>
        </w:rPr>
        <w:t xml:space="preserve">. Expressions of interest should be submitted to </w:t>
      </w:r>
      <w:hyperlink r:id="rId9" w:history="1">
        <w:r w:rsidRPr="00F971F4">
          <w:rPr>
            <w:rStyle w:val="Hyperlink"/>
            <w:rFonts w:ascii="Aptos" w:hAnsi="Aptos"/>
          </w:rPr>
          <w:t>admin@slsa.ac.uk</w:t>
        </w:r>
      </w:hyperlink>
      <w:r>
        <w:rPr>
          <w:rFonts w:ascii="Aptos" w:hAnsi="Aptos"/>
        </w:rPr>
        <w:t xml:space="preserve"> by </w:t>
      </w:r>
      <w:r w:rsidR="00C109BC" w:rsidRPr="00C109BC">
        <w:rPr>
          <w:rFonts w:ascii="Aptos" w:hAnsi="Aptos"/>
          <w:b/>
          <w:bCs/>
        </w:rPr>
        <w:t>31 March 2025</w:t>
      </w:r>
      <w:r>
        <w:rPr>
          <w:rFonts w:ascii="Aptos" w:hAnsi="Aptos"/>
        </w:rPr>
        <w:t xml:space="preserve"> using the form provided.</w:t>
      </w:r>
    </w:p>
    <w:p w14:paraId="38D7955F" w14:textId="77777777" w:rsidR="001A2078" w:rsidRDefault="001A2078" w:rsidP="00575940">
      <w:pPr>
        <w:spacing w:line="276" w:lineRule="auto"/>
        <w:rPr>
          <w:rFonts w:ascii="Aptos" w:hAnsi="Aptos"/>
        </w:rPr>
      </w:pPr>
    </w:p>
    <w:p w14:paraId="236AE59F" w14:textId="77777777" w:rsidR="000D5F8C" w:rsidRDefault="000D5F8C">
      <w:pPr>
        <w:rPr>
          <w:rFonts w:ascii="Aptos" w:hAnsi="Aptos"/>
          <w:b/>
          <w:bCs/>
        </w:rPr>
      </w:pPr>
      <w:r>
        <w:rPr>
          <w:rFonts w:ascii="Aptos" w:hAnsi="Aptos"/>
          <w:b/>
          <w:bCs/>
        </w:rPr>
        <w:br w:type="page"/>
      </w:r>
    </w:p>
    <w:p w14:paraId="39D59F2A" w14:textId="55AE8681" w:rsidR="001A2078" w:rsidRDefault="001A2078" w:rsidP="004B585F">
      <w:pPr>
        <w:spacing w:line="276" w:lineRule="auto"/>
        <w:jc w:val="center"/>
        <w:rPr>
          <w:rFonts w:ascii="Aptos" w:hAnsi="Aptos"/>
          <w:b/>
          <w:bCs/>
        </w:rPr>
      </w:pPr>
      <w:r>
        <w:rPr>
          <w:rFonts w:ascii="Aptos" w:hAnsi="Aptos"/>
          <w:b/>
          <w:bCs/>
        </w:rPr>
        <w:lastRenderedPageBreak/>
        <w:t>SLSA annual conference hosting</w:t>
      </w:r>
      <w:r w:rsidR="004B585F">
        <w:rPr>
          <w:rFonts w:ascii="Aptos" w:hAnsi="Aptos"/>
          <w:b/>
          <w:bCs/>
        </w:rPr>
        <w:t xml:space="preserve"> – </w:t>
      </w:r>
      <w:bookmarkStart w:id="0" w:name="_Hlk188815150"/>
      <w:r>
        <w:rPr>
          <w:rFonts w:ascii="Aptos" w:hAnsi="Aptos"/>
          <w:b/>
          <w:bCs/>
        </w:rPr>
        <w:t>Expression of interest form</w:t>
      </w:r>
      <w:bookmarkEnd w:id="0"/>
    </w:p>
    <w:p w14:paraId="38A1BED9" w14:textId="77777777" w:rsidR="004B585F" w:rsidRDefault="004B585F" w:rsidP="004B585F">
      <w:pPr>
        <w:spacing w:line="276" w:lineRule="auto"/>
        <w:jc w:val="center"/>
        <w:rPr>
          <w:rFonts w:ascii="Aptos" w:hAnsi="Aptos"/>
          <w:b/>
          <w:bCs/>
        </w:rPr>
      </w:pPr>
    </w:p>
    <w:tbl>
      <w:tblPr>
        <w:tblStyle w:val="TableGrid"/>
        <w:tblW w:w="0" w:type="auto"/>
        <w:tblLook w:val="04A0" w:firstRow="1" w:lastRow="0" w:firstColumn="1" w:lastColumn="0" w:noHBand="0" w:noVBand="1"/>
      </w:tblPr>
      <w:tblGrid>
        <w:gridCol w:w="9016"/>
      </w:tblGrid>
      <w:tr w:rsidR="001A2078" w:rsidRPr="001A2078" w14:paraId="5C0B7F8D" w14:textId="77777777" w:rsidTr="005E3ED1">
        <w:tc>
          <w:tcPr>
            <w:tcW w:w="9016" w:type="dxa"/>
          </w:tcPr>
          <w:p w14:paraId="37ABFCBC" w14:textId="1C14758C" w:rsidR="001A2078" w:rsidRPr="001A2078" w:rsidRDefault="001A2078" w:rsidP="001A2078">
            <w:pPr>
              <w:pStyle w:val="ListParagraph"/>
              <w:numPr>
                <w:ilvl w:val="0"/>
                <w:numId w:val="4"/>
              </w:numPr>
              <w:spacing w:line="276" w:lineRule="auto"/>
              <w:rPr>
                <w:rFonts w:ascii="Aptos" w:hAnsi="Aptos"/>
                <w:b/>
                <w:bCs/>
              </w:rPr>
            </w:pPr>
            <w:r>
              <w:rPr>
                <w:rFonts w:ascii="Aptos" w:hAnsi="Aptos"/>
                <w:b/>
                <w:bCs/>
              </w:rPr>
              <w:t>Suitability to host</w:t>
            </w:r>
          </w:p>
        </w:tc>
      </w:tr>
      <w:tr w:rsidR="001A2078" w14:paraId="08B48C79" w14:textId="77777777" w:rsidTr="005E3ED1">
        <w:tc>
          <w:tcPr>
            <w:tcW w:w="9016" w:type="dxa"/>
          </w:tcPr>
          <w:p w14:paraId="48E8A120" w14:textId="79B6AAFA" w:rsidR="001A2078" w:rsidRPr="001B070E" w:rsidRDefault="001A2078" w:rsidP="001A2078">
            <w:pPr>
              <w:spacing w:line="276" w:lineRule="auto"/>
              <w:rPr>
                <w:rFonts w:ascii="Aptos" w:hAnsi="Aptos"/>
                <w:i/>
                <w:iCs/>
                <w:color w:val="808080" w:themeColor="background1" w:themeShade="80"/>
              </w:rPr>
            </w:pPr>
            <w:r w:rsidRPr="001B070E">
              <w:rPr>
                <w:rFonts w:ascii="Aptos" w:hAnsi="Aptos"/>
                <w:i/>
                <w:iCs/>
                <w:color w:val="808080" w:themeColor="background1" w:themeShade="80"/>
              </w:rPr>
              <w:t xml:space="preserve">Up to 200-word summary of why you think your institution is well-suited </w:t>
            </w:r>
            <w:r w:rsidR="001E0D9B" w:rsidRPr="001B070E">
              <w:rPr>
                <w:rFonts w:ascii="Aptos" w:hAnsi="Aptos"/>
                <w:i/>
                <w:iCs/>
                <w:color w:val="808080" w:themeColor="background1" w:themeShade="80"/>
              </w:rPr>
              <w:t>to host</w:t>
            </w:r>
            <w:r w:rsidRPr="001B070E">
              <w:rPr>
                <w:rFonts w:ascii="Aptos" w:hAnsi="Aptos"/>
                <w:i/>
                <w:iCs/>
                <w:color w:val="808080" w:themeColor="background1" w:themeShade="80"/>
              </w:rPr>
              <w:t xml:space="preserve"> the SLSA</w:t>
            </w:r>
          </w:p>
          <w:p w14:paraId="40293A76" w14:textId="61B64613" w:rsidR="001A2078" w:rsidRPr="00711B62" w:rsidRDefault="001A2078" w:rsidP="001A2078">
            <w:pPr>
              <w:spacing w:line="276" w:lineRule="auto"/>
              <w:rPr>
                <w:rFonts w:ascii="Aptos" w:hAnsi="Aptos"/>
                <w:i/>
                <w:iCs/>
                <w:color w:val="767171" w:themeColor="background2" w:themeShade="80"/>
              </w:rPr>
            </w:pPr>
          </w:p>
        </w:tc>
      </w:tr>
      <w:tr w:rsidR="001B070E" w:rsidRPr="001B070E" w14:paraId="1FA20EC3" w14:textId="77777777" w:rsidTr="005E3ED1">
        <w:tc>
          <w:tcPr>
            <w:tcW w:w="9016" w:type="dxa"/>
          </w:tcPr>
          <w:p w14:paraId="117DBC00" w14:textId="46A88916" w:rsidR="001A2078" w:rsidRPr="001B070E" w:rsidRDefault="001A2078" w:rsidP="001A2078">
            <w:pPr>
              <w:pStyle w:val="ListParagraph"/>
              <w:numPr>
                <w:ilvl w:val="0"/>
                <w:numId w:val="4"/>
              </w:numPr>
              <w:spacing w:line="276" w:lineRule="auto"/>
              <w:rPr>
                <w:rFonts w:ascii="Aptos" w:hAnsi="Aptos"/>
                <w:b/>
                <w:bCs/>
              </w:rPr>
            </w:pPr>
            <w:r w:rsidRPr="001B070E">
              <w:rPr>
                <w:rFonts w:ascii="Aptos" w:hAnsi="Aptos"/>
                <w:b/>
                <w:bCs/>
              </w:rPr>
              <w:t xml:space="preserve">Venue </w:t>
            </w:r>
            <w:r w:rsidR="00DB1EAB" w:rsidRPr="001B070E">
              <w:rPr>
                <w:rFonts w:ascii="Aptos" w:hAnsi="Aptos"/>
                <w:b/>
                <w:bCs/>
              </w:rPr>
              <w:t xml:space="preserve">and location </w:t>
            </w:r>
            <w:r w:rsidRPr="001B070E">
              <w:rPr>
                <w:rFonts w:ascii="Aptos" w:hAnsi="Aptos"/>
                <w:b/>
                <w:bCs/>
              </w:rPr>
              <w:t>details</w:t>
            </w:r>
            <w:r w:rsidR="00D87CD2" w:rsidRPr="001B070E">
              <w:rPr>
                <w:rFonts w:ascii="Aptos" w:hAnsi="Aptos"/>
                <w:b/>
                <w:bCs/>
              </w:rPr>
              <w:t xml:space="preserve"> (reflecting minimum standard set out in criteria above)</w:t>
            </w:r>
          </w:p>
        </w:tc>
      </w:tr>
      <w:tr w:rsidR="001A2078" w14:paraId="23C5975C" w14:textId="77777777" w:rsidTr="005E3ED1">
        <w:tc>
          <w:tcPr>
            <w:tcW w:w="9016" w:type="dxa"/>
          </w:tcPr>
          <w:p w14:paraId="3242C803" w14:textId="77777777" w:rsidR="00CD344C" w:rsidRPr="001B070E" w:rsidRDefault="001A2078" w:rsidP="00CD344C">
            <w:pPr>
              <w:spacing w:line="276" w:lineRule="auto"/>
              <w:rPr>
                <w:rFonts w:ascii="Aptos" w:hAnsi="Aptos"/>
                <w:i/>
                <w:iCs/>
                <w:color w:val="808080" w:themeColor="background1" w:themeShade="80"/>
              </w:rPr>
            </w:pPr>
            <w:r w:rsidRPr="001B070E">
              <w:rPr>
                <w:rFonts w:ascii="Aptos" w:hAnsi="Aptos"/>
                <w:i/>
                <w:iCs/>
                <w:color w:val="808080" w:themeColor="background1" w:themeShade="80"/>
              </w:rPr>
              <w:t xml:space="preserve">Provide information about: capacity </w:t>
            </w:r>
            <w:r w:rsidR="00B475BC" w:rsidRPr="001B070E">
              <w:rPr>
                <w:rFonts w:ascii="Aptos" w:hAnsi="Aptos"/>
                <w:i/>
                <w:iCs/>
                <w:color w:val="808080" w:themeColor="background1" w:themeShade="80"/>
              </w:rPr>
              <w:t xml:space="preserve">for in person </w:t>
            </w:r>
            <w:r w:rsidR="00CD344C" w:rsidRPr="001B070E">
              <w:rPr>
                <w:rFonts w:ascii="Aptos" w:hAnsi="Aptos"/>
                <w:i/>
                <w:iCs/>
                <w:color w:val="808080" w:themeColor="background1" w:themeShade="80"/>
              </w:rPr>
              <w:t xml:space="preserve">conference attendees </w:t>
            </w:r>
            <w:r w:rsidRPr="001B070E">
              <w:rPr>
                <w:rFonts w:ascii="Aptos" w:hAnsi="Aptos"/>
                <w:i/>
                <w:iCs/>
                <w:color w:val="808080" w:themeColor="background1" w:themeShade="80"/>
              </w:rPr>
              <w:t xml:space="preserve">and capability </w:t>
            </w:r>
            <w:r w:rsidR="00CD344C" w:rsidRPr="001B070E">
              <w:rPr>
                <w:rFonts w:ascii="Aptos" w:hAnsi="Aptos"/>
                <w:i/>
                <w:iCs/>
                <w:color w:val="808080" w:themeColor="background1" w:themeShade="80"/>
              </w:rPr>
              <w:t>of sites</w:t>
            </w:r>
            <w:r w:rsidRPr="001B070E">
              <w:rPr>
                <w:rFonts w:ascii="Aptos" w:hAnsi="Aptos"/>
                <w:i/>
                <w:iCs/>
                <w:color w:val="808080" w:themeColor="background1" w:themeShade="80"/>
              </w:rPr>
              <w:t xml:space="preserve"> to host conference programme;</w:t>
            </w:r>
            <w:r w:rsidR="00CD344C" w:rsidRPr="001B070E">
              <w:rPr>
                <w:rFonts w:ascii="Aptos" w:hAnsi="Aptos"/>
                <w:i/>
                <w:iCs/>
                <w:color w:val="808080" w:themeColor="background1" w:themeShade="80"/>
              </w:rPr>
              <w:t xml:space="preserve"> </w:t>
            </w:r>
            <w:r w:rsidR="001E0D9B" w:rsidRPr="001B070E">
              <w:rPr>
                <w:rFonts w:ascii="Aptos" w:hAnsi="Aptos"/>
                <w:i/>
                <w:iCs/>
                <w:color w:val="808080" w:themeColor="background1" w:themeShade="80"/>
              </w:rPr>
              <w:t>space to host refreshments, lunch, and sundries such as registration and publisher stands</w:t>
            </w:r>
            <w:r w:rsidR="00CD344C" w:rsidRPr="001B070E">
              <w:rPr>
                <w:rFonts w:ascii="Aptos" w:hAnsi="Aptos"/>
                <w:i/>
                <w:iCs/>
                <w:color w:val="808080" w:themeColor="background1" w:themeShade="80"/>
              </w:rPr>
              <w:t>; delegate access to the conference sites</w:t>
            </w:r>
          </w:p>
          <w:p w14:paraId="271D229D" w14:textId="77777777" w:rsidR="001A2078" w:rsidRPr="001B070E" w:rsidRDefault="001A2078" w:rsidP="005E3ED1">
            <w:pPr>
              <w:spacing w:line="276" w:lineRule="auto"/>
              <w:rPr>
                <w:rFonts w:ascii="Aptos" w:hAnsi="Aptos"/>
                <w:color w:val="808080" w:themeColor="background1" w:themeShade="80"/>
              </w:rPr>
            </w:pPr>
          </w:p>
        </w:tc>
      </w:tr>
      <w:tr w:rsidR="005E3ED1" w14:paraId="6C2E55F7" w14:textId="77777777" w:rsidTr="005E3ED1">
        <w:tc>
          <w:tcPr>
            <w:tcW w:w="9016" w:type="dxa"/>
          </w:tcPr>
          <w:p w14:paraId="6E451B1F" w14:textId="76DF1232" w:rsidR="005E3ED1" w:rsidRPr="005E3ED1" w:rsidRDefault="005E3ED1" w:rsidP="005E3ED1">
            <w:pPr>
              <w:pStyle w:val="ListParagraph"/>
              <w:numPr>
                <w:ilvl w:val="0"/>
                <w:numId w:val="4"/>
              </w:numPr>
              <w:spacing w:line="276" w:lineRule="auto"/>
              <w:rPr>
                <w:rFonts w:ascii="Aptos" w:hAnsi="Aptos"/>
                <w:b/>
                <w:bCs/>
              </w:rPr>
            </w:pPr>
            <w:r w:rsidRPr="005E3ED1">
              <w:rPr>
                <w:rFonts w:ascii="Aptos" w:hAnsi="Aptos"/>
                <w:b/>
                <w:bCs/>
              </w:rPr>
              <w:t>Indicative budget &amp; intentions for surplus</w:t>
            </w:r>
          </w:p>
        </w:tc>
      </w:tr>
      <w:tr w:rsidR="005E3ED1" w14:paraId="34A53521" w14:textId="77777777" w:rsidTr="005E3ED1">
        <w:tc>
          <w:tcPr>
            <w:tcW w:w="9016" w:type="dxa"/>
          </w:tcPr>
          <w:p w14:paraId="3F1ABD55" w14:textId="77777777" w:rsidR="005E3ED1" w:rsidRPr="001B070E" w:rsidRDefault="005E3ED1" w:rsidP="005E3ED1">
            <w:pPr>
              <w:spacing w:line="276" w:lineRule="auto"/>
              <w:rPr>
                <w:rFonts w:ascii="Aptos" w:hAnsi="Aptos"/>
                <w:i/>
                <w:iCs/>
                <w:color w:val="808080" w:themeColor="background1" w:themeShade="80"/>
              </w:rPr>
            </w:pPr>
            <w:r w:rsidRPr="001B070E">
              <w:rPr>
                <w:rFonts w:ascii="Aptos" w:hAnsi="Aptos"/>
                <w:i/>
                <w:iCs/>
                <w:color w:val="808080" w:themeColor="background1" w:themeShade="80"/>
              </w:rPr>
              <w:t>Please provide details of: core budget expenditure lines; anticipated registration rates and other core income sources; intended surplus.</w:t>
            </w:r>
          </w:p>
          <w:p w14:paraId="7FDE4628" w14:textId="77777777" w:rsidR="005E3ED1" w:rsidRPr="001B070E" w:rsidRDefault="005E3ED1" w:rsidP="005E3ED1">
            <w:pPr>
              <w:spacing w:line="276" w:lineRule="auto"/>
              <w:rPr>
                <w:rFonts w:ascii="Aptos" w:hAnsi="Aptos"/>
                <w:i/>
                <w:iCs/>
                <w:color w:val="808080" w:themeColor="background1" w:themeShade="80"/>
              </w:rPr>
            </w:pPr>
          </w:p>
          <w:p w14:paraId="1D1CC59A" w14:textId="594B3E9E" w:rsidR="005E3ED1" w:rsidRPr="001B070E" w:rsidRDefault="005E3ED1" w:rsidP="005E3ED1">
            <w:pPr>
              <w:spacing w:line="276" w:lineRule="auto"/>
              <w:rPr>
                <w:rFonts w:ascii="Aptos" w:hAnsi="Aptos"/>
                <w:i/>
                <w:iCs/>
                <w:color w:val="808080" w:themeColor="background1" w:themeShade="80"/>
              </w:rPr>
            </w:pPr>
            <w:r w:rsidRPr="001B070E">
              <w:rPr>
                <w:rFonts w:ascii="Aptos" w:hAnsi="Aptos"/>
                <w:i/>
                <w:iCs/>
                <w:color w:val="808080" w:themeColor="background1" w:themeShade="80"/>
              </w:rPr>
              <w:t>Donations from hosts of the annual conference (of the entire surplus generated) are one of the SLSA’s key sources of income. The budget should project a surplus of at least £</w:t>
            </w:r>
            <w:r w:rsidR="00B5486F">
              <w:rPr>
                <w:rFonts w:ascii="Aptos" w:hAnsi="Aptos"/>
                <w:i/>
                <w:iCs/>
                <w:color w:val="808080" w:themeColor="background1" w:themeShade="80"/>
              </w:rPr>
              <w:t>30,000</w:t>
            </w:r>
            <w:r w:rsidRPr="001B070E">
              <w:rPr>
                <w:rFonts w:ascii="Aptos" w:hAnsi="Aptos"/>
                <w:i/>
                <w:iCs/>
                <w:color w:val="808080" w:themeColor="background1" w:themeShade="80"/>
              </w:rPr>
              <w:t xml:space="preserve"> after all costs including contingency. </w:t>
            </w:r>
          </w:p>
          <w:p w14:paraId="4C8A5C19" w14:textId="77777777" w:rsidR="005E3ED1" w:rsidRDefault="005E3ED1" w:rsidP="005E3ED1">
            <w:pPr>
              <w:spacing w:line="276" w:lineRule="auto"/>
              <w:rPr>
                <w:rFonts w:ascii="Aptos" w:hAnsi="Aptos"/>
                <w:i/>
                <w:iCs/>
                <w:color w:val="767171" w:themeColor="background2" w:themeShade="80"/>
              </w:rPr>
            </w:pPr>
          </w:p>
          <w:p w14:paraId="6DBCE5FF" w14:textId="77777777" w:rsidR="009562F8" w:rsidRPr="009562F8" w:rsidRDefault="009562F8" w:rsidP="009562F8">
            <w:pPr>
              <w:spacing w:line="276" w:lineRule="auto"/>
              <w:rPr>
                <w:rFonts w:ascii="Aptos" w:hAnsi="Aptos"/>
                <w:i/>
                <w:iCs/>
                <w:color w:val="767171" w:themeColor="background2" w:themeShade="80"/>
              </w:rPr>
            </w:pPr>
            <w:r w:rsidRPr="009562F8">
              <w:rPr>
                <w:rFonts w:ascii="Aptos" w:hAnsi="Aptos"/>
                <w:i/>
                <w:iCs/>
                <w:color w:val="767171" w:themeColor="background2" w:themeShade="80"/>
              </w:rPr>
              <w:t xml:space="preserve">At the Board’s discretion, we will consider EoIs with budgets which request that the SLSA invest in socio-legal studies at the host University by forgoing a portion of the surplus amounting to no more than 20% of any surplus generated beyond £50,000. The request must indicate how the amount would be used to further teaching and research in socio-legal studies at the institution. Any such request will only be considered if the University can make an explicit commitment to SLSA that it will be used to further teaching and research in socio-legal studies within the institution. Forgoing of any such surplus will only be permitted if a request is explicitly included as part of the EOI, and is within the parameters noted above. </w:t>
            </w:r>
          </w:p>
          <w:p w14:paraId="02D05BB4" w14:textId="77777777" w:rsidR="009562F8" w:rsidRPr="009562F8" w:rsidRDefault="009562F8" w:rsidP="009562F8">
            <w:pPr>
              <w:spacing w:line="276" w:lineRule="auto"/>
              <w:rPr>
                <w:rFonts w:ascii="Aptos" w:hAnsi="Aptos"/>
                <w:i/>
                <w:iCs/>
                <w:color w:val="767171" w:themeColor="background2" w:themeShade="80"/>
              </w:rPr>
            </w:pPr>
          </w:p>
          <w:p w14:paraId="2BF36CE4" w14:textId="0E5AC9CE" w:rsidR="009562F8" w:rsidRPr="005E3ED1" w:rsidRDefault="009562F8" w:rsidP="009562F8">
            <w:pPr>
              <w:spacing w:line="276" w:lineRule="auto"/>
              <w:rPr>
                <w:rFonts w:ascii="Aptos" w:hAnsi="Aptos"/>
                <w:i/>
                <w:iCs/>
                <w:color w:val="767171" w:themeColor="background2" w:themeShade="80"/>
              </w:rPr>
            </w:pPr>
            <w:r w:rsidRPr="009562F8">
              <w:rPr>
                <w:rFonts w:ascii="Aptos" w:hAnsi="Aptos"/>
                <w:i/>
                <w:iCs/>
                <w:color w:val="767171" w:themeColor="background2" w:themeShade="80"/>
              </w:rPr>
              <w:t>Alternatively, at the Board’s discretion, we will consider requests, after the fact, to cover any additional unanticipated costs that may have arisen beyond the amount provided for in the contingency in the agreed budget, only if any surplus generated is beyond £50,000.</w:t>
            </w:r>
          </w:p>
        </w:tc>
      </w:tr>
      <w:tr w:rsidR="001B070E" w:rsidRPr="001B070E" w14:paraId="527115AF" w14:textId="77777777" w:rsidTr="005E3ED1">
        <w:tc>
          <w:tcPr>
            <w:tcW w:w="9016" w:type="dxa"/>
          </w:tcPr>
          <w:p w14:paraId="0AE370F5" w14:textId="1FE71F5B" w:rsidR="005E3ED1" w:rsidRPr="001B070E" w:rsidRDefault="005E3ED1" w:rsidP="005E3ED1">
            <w:pPr>
              <w:pStyle w:val="ListParagraph"/>
              <w:numPr>
                <w:ilvl w:val="0"/>
                <w:numId w:val="4"/>
              </w:numPr>
              <w:spacing w:line="276" w:lineRule="auto"/>
              <w:rPr>
                <w:rFonts w:ascii="Aptos" w:hAnsi="Aptos"/>
                <w:b/>
                <w:bCs/>
              </w:rPr>
            </w:pPr>
            <w:r w:rsidRPr="001B070E">
              <w:rPr>
                <w:rFonts w:ascii="Aptos" w:hAnsi="Aptos"/>
                <w:b/>
                <w:bCs/>
              </w:rPr>
              <w:t>Additional capacity (or proposed plans for additional activities)</w:t>
            </w:r>
          </w:p>
        </w:tc>
      </w:tr>
      <w:tr w:rsidR="005E3ED1" w14:paraId="2FB7867C" w14:textId="77777777" w:rsidTr="005E3ED1">
        <w:tc>
          <w:tcPr>
            <w:tcW w:w="9016" w:type="dxa"/>
          </w:tcPr>
          <w:p w14:paraId="2859AD73" w14:textId="77777777" w:rsidR="005E3ED1" w:rsidRPr="001B070E" w:rsidRDefault="005E3ED1" w:rsidP="005E3ED1">
            <w:pPr>
              <w:spacing w:line="276" w:lineRule="auto"/>
              <w:rPr>
                <w:rFonts w:ascii="Aptos" w:hAnsi="Aptos"/>
                <w:i/>
                <w:iCs/>
                <w:color w:val="808080" w:themeColor="background1" w:themeShade="80"/>
              </w:rPr>
            </w:pPr>
            <w:proofErr w:type="spellStart"/>
            <w:r w:rsidRPr="001B070E">
              <w:rPr>
                <w:rFonts w:ascii="Aptos" w:hAnsi="Aptos"/>
                <w:i/>
                <w:iCs/>
                <w:color w:val="808080" w:themeColor="background1" w:themeShade="80"/>
              </w:rPr>
              <w:t>Eg</w:t>
            </w:r>
            <w:proofErr w:type="spellEnd"/>
            <w:r w:rsidRPr="001B070E">
              <w:rPr>
                <w:rFonts w:ascii="Aptos" w:hAnsi="Aptos"/>
                <w:i/>
                <w:iCs/>
                <w:color w:val="808080" w:themeColor="background1" w:themeShade="80"/>
              </w:rPr>
              <w:t xml:space="preserve">; If you can offer any hybrid or online provision in addition to in-person participation, who will this be made available to, and how will this be publicised? how would your budget change to reflect this? Examples of hybrid provision that could be offered include: a fully hybrid conference programme; accommodating some streams online and/or hybrid; hybrid and/or online only conference day or half-day; accommodating online participation from those presenters with accessibility needs; online participation through other formats such as a poster competition etc. What will this hybrid or online offering look like – </w:t>
            </w:r>
            <w:proofErr w:type="spellStart"/>
            <w:r w:rsidRPr="001B070E">
              <w:rPr>
                <w:rFonts w:ascii="Aptos" w:hAnsi="Aptos"/>
                <w:i/>
                <w:iCs/>
                <w:color w:val="808080" w:themeColor="background1" w:themeShade="80"/>
              </w:rPr>
              <w:t>eg</w:t>
            </w:r>
            <w:proofErr w:type="spellEnd"/>
            <w:r w:rsidRPr="001B070E">
              <w:rPr>
                <w:rFonts w:ascii="Aptos" w:hAnsi="Aptos"/>
                <w:i/>
                <w:iCs/>
                <w:color w:val="808080" w:themeColor="background1" w:themeShade="80"/>
              </w:rPr>
              <w:t xml:space="preserve"> how many rooms are available for hybrid or online sessions? what examples of use of, or experience with, online/hybrid conference platforms within the institution informs your plans? </w:t>
            </w:r>
          </w:p>
          <w:p w14:paraId="19F38EBC" w14:textId="77777777" w:rsidR="005E3ED1" w:rsidRPr="001B070E" w:rsidRDefault="005E3ED1" w:rsidP="005E3ED1">
            <w:pPr>
              <w:spacing w:line="276" w:lineRule="auto"/>
              <w:rPr>
                <w:rFonts w:ascii="Aptos" w:hAnsi="Aptos"/>
                <w:i/>
                <w:iCs/>
                <w:color w:val="808080" w:themeColor="background1" w:themeShade="80"/>
              </w:rPr>
            </w:pPr>
          </w:p>
        </w:tc>
      </w:tr>
      <w:tr w:rsidR="005E3ED1" w14:paraId="05CB9694" w14:textId="77777777" w:rsidTr="005E3ED1">
        <w:tc>
          <w:tcPr>
            <w:tcW w:w="9016" w:type="dxa"/>
          </w:tcPr>
          <w:p w14:paraId="6E4C7258" w14:textId="321CF712" w:rsidR="005E3ED1" w:rsidRPr="001E0D9B" w:rsidRDefault="005E3ED1" w:rsidP="005E3ED1">
            <w:pPr>
              <w:pStyle w:val="ListParagraph"/>
              <w:numPr>
                <w:ilvl w:val="0"/>
                <w:numId w:val="4"/>
              </w:numPr>
              <w:spacing w:line="276" w:lineRule="auto"/>
              <w:rPr>
                <w:rFonts w:ascii="Aptos" w:hAnsi="Aptos"/>
                <w:b/>
                <w:bCs/>
              </w:rPr>
            </w:pPr>
            <w:r>
              <w:rPr>
                <w:rFonts w:ascii="Aptos" w:hAnsi="Aptos"/>
                <w:b/>
                <w:bCs/>
              </w:rPr>
              <w:t>Commitment to accessibility and EDI</w:t>
            </w:r>
          </w:p>
        </w:tc>
      </w:tr>
      <w:tr w:rsidR="005E3ED1" w14:paraId="69261A8A" w14:textId="77777777" w:rsidTr="005E3ED1">
        <w:tc>
          <w:tcPr>
            <w:tcW w:w="9016" w:type="dxa"/>
          </w:tcPr>
          <w:p w14:paraId="550DC6A6" w14:textId="79E29584" w:rsidR="005E3ED1" w:rsidRPr="001B070E" w:rsidRDefault="005E3ED1" w:rsidP="005E3ED1">
            <w:pPr>
              <w:spacing w:line="276" w:lineRule="auto"/>
              <w:rPr>
                <w:rFonts w:ascii="Aptos" w:hAnsi="Aptos"/>
                <w:i/>
                <w:iCs/>
                <w:color w:val="808080" w:themeColor="background1" w:themeShade="80"/>
              </w:rPr>
            </w:pPr>
            <w:r w:rsidRPr="001B070E">
              <w:rPr>
                <w:rFonts w:ascii="Aptos" w:hAnsi="Aptos"/>
                <w:i/>
                <w:iCs/>
                <w:color w:val="808080" w:themeColor="background1" w:themeShade="80"/>
              </w:rPr>
              <w:lastRenderedPageBreak/>
              <w:t xml:space="preserve">Explain how your host institution will ensure compliance with the </w:t>
            </w:r>
            <w:hyperlink r:id="rId10" w:history="1">
              <w:r w:rsidRPr="001E0D9B">
                <w:rPr>
                  <w:rStyle w:val="Hyperlink"/>
                  <w:rFonts w:ascii="Aptos" w:hAnsi="Aptos"/>
                  <w:i/>
                  <w:iCs/>
                </w:rPr>
                <w:t>SLSA Equality and Diversity Policy on Conferences</w:t>
              </w:r>
            </w:hyperlink>
            <w:r w:rsidRPr="001B070E">
              <w:rPr>
                <w:rStyle w:val="Hyperlink"/>
                <w:rFonts w:ascii="Aptos" w:hAnsi="Aptos"/>
                <w:i/>
                <w:iCs/>
                <w:color w:val="808080" w:themeColor="background1" w:themeShade="80"/>
                <w:u w:val="none"/>
              </w:rPr>
              <w:t xml:space="preserve"> – </w:t>
            </w:r>
            <w:proofErr w:type="spellStart"/>
            <w:r w:rsidRPr="001B070E">
              <w:rPr>
                <w:rStyle w:val="Hyperlink"/>
                <w:rFonts w:ascii="Aptos" w:hAnsi="Aptos"/>
                <w:i/>
                <w:iCs/>
                <w:color w:val="808080" w:themeColor="background1" w:themeShade="80"/>
                <w:u w:val="none"/>
              </w:rPr>
              <w:t>eg</w:t>
            </w:r>
            <w:proofErr w:type="spellEnd"/>
            <w:r w:rsidRPr="001B070E">
              <w:rPr>
                <w:rStyle w:val="Hyperlink"/>
                <w:rFonts w:ascii="Aptos" w:hAnsi="Aptos"/>
                <w:i/>
                <w:iCs/>
                <w:color w:val="808080" w:themeColor="background1" w:themeShade="80"/>
                <w:u w:val="none"/>
              </w:rPr>
              <w:t xml:space="preserve"> what care will be taken to ensure that the conference is made accessible for all?</w:t>
            </w:r>
          </w:p>
          <w:p w14:paraId="6E5C61F0" w14:textId="77777777" w:rsidR="005E3ED1" w:rsidRDefault="005E3ED1" w:rsidP="005E3ED1">
            <w:pPr>
              <w:spacing w:line="276" w:lineRule="auto"/>
              <w:rPr>
                <w:rFonts w:ascii="Aptos" w:hAnsi="Aptos"/>
              </w:rPr>
            </w:pPr>
          </w:p>
        </w:tc>
      </w:tr>
      <w:tr w:rsidR="005E3ED1" w14:paraId="073E8EDB" w14:textId="77777777" w:rsidTr="005E3ED1">
        <w:tc>
          <w:tcPr>
            <w:tcW w:w="9016" w:type="dxa"/>
          </w:tcPr>
          <w:p w14:paraId="75D4FEC4" w14:textId="71CF9B2D" w:rsidR="005E3ED1" w:rsidRPr="001E0D9B" w:rsidRDefault="005E3ED1" w:rsidP="005E3ED1">
            <w:pPr>
              <w:pStyle w:val="ListParagraph"/>
              <w:numPr>
                <w:ilvl w:val="0"/>
                <w:numId w:val="4"/>
              </w:numPr>
              <w:spacing w:line="276" w:lineRule="auto"/>
              <w:rPr>
                <w:rFonts w:ascii="Aptos" w:hAnsi="Aptos"/>
                <w:b/>
                <w:bCs/>
              </w:rPr>
            </w:pPr>
            <w:r>
              <w:rPr>
                <w:rFonts w:ascii="Aptos" w:hAnsi="Aptos"/>
                <w:b/>
                <w:bCs/>
              </w:rPr>
              <w:t>Details of conference hosting team &amp; institutional support for conference hosting</w:t>
            </w:r>
          </w:p>
        </w:tc>
      </w:tr>
      <w:tr w:rsidR="005E3ED1" w14:paraId="0DF5722F" w14:textId="77777777" w:rsidTr="005E3ED1">
        <w:tc>
          <w:tcPr>
            <w:tcW w:w="9016" w:type="dxa"/>
          </w:tcPr>
          <w:p w14:paraId="4DBE6F1A" w14:textId="6FD1A03F" w:rsidR="005E3ED1" w:rsidRPr="001B070E" w:rsidRDefault="005E3ED1" w:rsidP="005E3ED1">
            <w:pPr>
              <w:spacing w:line="276" w:lineRule="auto"/>
              <w:rPr>
                <w:rFonts w:ascii="Aptos" w:hAnsi="Aptos"/>
                <w:color w:val="808080" w:themeColor="background1" w:themeShade="80"/>
              </w:rPr>
            </w:pPr>
            <w:r w:rsidRPr="001B070E">
              <w:rPr>
                <w:rFonts w:ascii="Aptos" w:hAnsi="Aptos"/>
                <w:i/>
                <w:iCs/>
                <w:color w:val="808080" w:themeColor="background1" w:themeShade="80"/>
              </w:rPr>
              <w:t>Which members of the institution will be on the conference organising committee, and what roles will they have? What financial and administrative support will be provided by the host law school and/or university?</w:t>
            </w:r>
          </w:p>
          <w:p w14:paraId="05FB1F89" w14:textId="0C9BC08D" w:rsidR="005E3ED1" w:rsidRDefault="005E3ED1" w:rsidP="005E3ED1">
            <w:pPr>
              <w:spacing w:line="276" w:lineRule="auto"/>
              <w:rPr>
                <w:rFonts w:ascii="Aptos" w:hAnsi="Aptos"/>
              </w:rPr>
            </w:pPr>
          </w:p>
        </w:tc>
      </w:tr>
    </w:tbl>
    <w:p w14:paraId="2383E88A" w14:textId="61FB124D" w:rsidR="005E3ED1" w:rsidRPr="008C25DC" w:rsidRDefault="005E3ED1" w:rsidP="005E3ED1">
      <w:pPr>
        <w:spacing w:line="276" w:lineRule="auto"/>
        <w:rPr>
          <w:rFonts w:ascii="Aptos" w:hAnsi="Aptos"/>
        </w:rPr>
      </w:pPr>
    </w:p>
    <w:sectPr w:rsidR="005E3ED1" w:rsidRPr="008C25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6E86" w14:textId="77777777" w:rsidR="0040195E" w:rsidRDefault="0040195E" w:rsidP="00C22F06">
      <w:pPr>
        <w:spacing w:line="240" w:lineRule="auto"/>
      </w:pPr>
      <w:r>
        <w:separator/>
      </w:r>
    </w:p>
  </w:endnote>
  <w:endnote w:type="continuationSeparator" w:id="0">
    <w:p w14:paraId="16164005" w14:textId="77777777" w:rsidR="0040195E" w:rsidRDefault="0040195E" w:rsidP="00C22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72F9" w14:textId="77777777" w:rsidR="0040195E" w:rsidRDefault="0040195E" w:rsidP="00C22F06">
      <w:pPr>
        <w:spacing w:line="240" w:lineRule="auto"/>
      </w:pPr>
      <w:r>
        <w:separator/>
      </w:r>
    </w:p>
  </w:footnote>
  <w:footnote w:type="continuationSeparator" w:id="0">
    <w:p w14:paraId="4BC4F218" w14:textId="77777777" w:rsidR="0040195E" w:rsidRDefault="0040195E" w:rsidP="00C22F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4E4E"/>
    <w:multiLevelType w:val="hybridMultilevel"/>
    <w:tmpl w:val="8C983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341D2B"/>
    <w:multiLevelType w:val="hybridMultilevel"/>
    <w:tmpl w:val="5508A22C"/>
    <w:lvl w:ilvl="0" w:tplc="E8CA3A66">
      <w:start w:val="1"/>
      <w:numFmt w:val="decimal"/>
      <w:lvlText w:val="%1)"/>
      <w:lvlJc w:val="left"/>
      <w:pPr>
        <w:ind w:left="1020" w:hanging="360"/>
      </w:pPr>
    </w:lvl>
    <w:lvl w:ilvl="1" w:tplc="E70A04F4">
      <w:start w:val="1"/>
      <w:numFmt w:val="decimal"/>
      <w:lvlText w:val="%2)"/>
      <w:lvlJc w:val="left"/>
      <w:pPr>
        <w:ind w:left="1020" w:hanging="360"/>
      </w:pPr>
    </w:lvl>
    <w:lvl w:ilvl="2" w:tplc="86D4F2AC">
      <w:start w:val="1"/>
      <w:numFmt w:val="decimal"/>
      <w:lvlText w:val="%3)"/>
      <w:lvlJc w:val="left"/>
      <w:pPr>
        <w:ind w:left="1020" w:hanging="360"/>
      </w:pPr>
    </w:lvl>
    <w:lvl w:ilvl="3" w:tplc="58E0E6A8">
      <w:start w:val="1"/>
      <w:numFmt w:val="decimal"/>
      <w:lvlText w:val="%4)"/>
      <w:lvlJc w:val="left"/>
      <w:pPr>
        <w:ind w:left="1020" w:hanging="360"/>
      </w:pPr>
    </w:lvl>
    <w:lvl w:ilvl="4" w:tplc="65D04258">
      <w:start w:val="1"/>
      <w:numFmt w:val="decimal"/>
      <w:lvlText w:val="%5)"/>
      <w:lvlJc w:val="left"/>
      <w:pPr>
        <w:ind w:left="1020" w:hanging="360"/>
      </w:pPr>
    </w:lvl>
    <w:lvl w:ilvl="5" w:tplc="A7168E34">
      <w:start w:val="1"/>
      <w:numFmt w:val="decimal"/>
      <w:lvlText w:val="%6)"/>
      <w:lvlJc w:val="left"/>
      <w:pPr>
        <w:ind w:left="1020" w:hanging="360"/>
      </w:pPr>
    </w:lvl>
    <w:lvl w:ilvl="6" w:tplc="D0FA84C6">
      <w:start w:val="1"/>
      <w:numFmt w:val="decimal"/>
      <w:lvlText w:val="%7)"/>
      <w:lvlJc w:val="left"/>
      <w:pPr>
        <w:ind w:left="1020" w:hanging="360"/>
      </w:pPr>
    </w:lvl>
    <w:lvl w:ilvl="7" w:tplc="256024C0">
      <w:start w:val="1"/>
      <w:numFmt w:val="decimal"/>
      <w:lvlText w:val="%8)"/>
      <w:lvlJc w:val="left"/>
      <w:pPr>
        <w:ind w:left="1020" w:hanging="360"/>
      </w:pPr>
    </w:lvl>
    <w:lvl w:ilvl="8" w:tplc="56F8002A">
      <w:start w:val="1"/>
      <w:numFmt w:val="decimal"/>
      <w:lvlText w:val="%9)"/>
      <w:lvlJc w:val="left"/>
      <w:pPr>
        <w:ind w:left="1020" w:hanging="360"/>
      </w:pPr>
    </w:lvl>
  </w:abstractNum>
  <w:abstractNum w:abstractNumId="2" w15:restartNumberingAfterBreak="0">
    <w:nsid w:val="43BD6FA0"/>
    <w:multiLevelType w:val="multilevel"/>
    <w:tmpl w:val="4B64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50667"/>
    <w:multiLevelType w:val="hybridMultilevel"/>
    <w:tmpl w:val="88A21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5F6191"/>
    <w:multiLevelType w:val="hybridMultilevel"/>
    <w:tmpl w:val="C40822F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FA6A52"/>
    <w:multiLevelType w:val="hybridMultilevel"/>
    <w:tmpl w:val="590C9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3260DC"/>
    <w:multiLevelType w:val="hybridMultilevel"/>
    <w:tmpl w:val="81C25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DE27DF"/>
    <w:multiLevelType w:val="hybridMultilevel"/>
    <w:tmpl w:val="A72E2CD8"/>
    <w:lvl w:ilvl="0" w:tplc="C7FEE30E">
      <w:start w:val="1"/>
      <w:numFmt w:val="decimal"/>
      <w:lvlText w:val="%1)"/>
      <w:lvlJc w:val="left"/>
      <w:pPr>
        <w:ind w:left="1020" w:hanging="360"/>
      </w:pPr>
    </w:lvl>
    <w:lvl w:ilvl="1" w:tplc="5164F1EC">
      <w:start w:val="1"/>
      <w:numFmt w:val="decimal"/>
      <w:lvlText w:val="%2)"/>
      <w:lvlJc w:val="left"/>
      <w:pPr>
        <w:ind w:left="1020" w:hanging="360"/>
      </w:pPr>
    </w:lvl>
    <w:lvl w:ilvl="2" w:tplc="6B784282">
      <w:start w:val="1"/>
      <w:numFmt w:val="decimal"/>
      <w:lvlText w:val="%3)"/>
      <w:lvlJc w:val="left"/>
      <w:pPr>
        <w:ind w:left="1020" w:hanging="360"/>
      </w:pPr>
    </w:lvl>
    <w:lvl w:ilvl="3" w:tplc="06345EBE">
      <w:start w:val="1"/>
      <w:numFmt w:val="decimal"/>
      <w:lvlText w:val="%4)"/>
      <w:lvlJc w:val="left"/>
      <w:pPr>
        <w:ind w:left="1020" w:hanging="360"/>
      </w:pPr>
    </w:lvl>
    <w:lvl w:ilvl="4" w:tplc="F2BE058A">
      <w:start w:val="1"/>
      <w:numFmt w:val="decimal"/>
      <w:lvlText w:val="%5)"/>
      <w:lvlJc w:val="left"/>
      <w:pPr>
        <w:ind w:left="1020" w:hanging="360"/>
      </w:pPr>
    </w:lvl>
    <w:lvl w:ilvl="5" w:tplc="D332C8C4">
      <w:start w:val="1"/>
      <w:numFmt w:val="decimal"/>
      <w:lvlText w:val="%6)"/>
      <w:lvlJc w:val="left"/>
      <w:pPr>
        <w:ind w:left="1020" w:hanging="360"/>
      </w:pPr>
    </w:lvl>
    <w:lvl w:ilvl="6" w:tplc="86C24CE0">
      <w:start w:val="1"/>
      <w:numFmt w:val="decimal"/>
      <w:lvlText w:val="%7)"/>
      <w:lvlJc w:val="left"/>
      <w:pPr>
        <w:ind w:left="1020" w:hanging="360"/>
      </w:pPr>
    </w:lvl>
    <w:lvl w:ilvl="7" w:tplc="C27CC24A">
      <w:start w:val="1"/>
      <w:numFmt w:val="decimal"/>
      <w:lvlText w:val="%8)"/>
      <w:lvlJc w:val="left"/>
      <w:pPr>
        <w:ind w:left="1020" w:hanging="360"/>
      </w:pPr>
    </w:lvl>
    <w:lvl w:ilvl="8" w:tplc="1AE2D192">
      <w:start w:val="1"/>
      <w:numFmt w:val="decimal"/>
      <w:lvlText w:val="%9)"/>
      <w:lvlJc w:val="left"/>
      <w:pPr>
        <w:ind w:left="1020" w:hanging="360"/>
      </w:pPr>
    </w:lvl>
  </w:abstractNum>
  <w:abstractNum w:abstractNumId="8" w15:restartNumberingAfterBreak="0">
    <w:nsid w:val="760560A6"/>
    <w:multiLevelType w:val="hybridMultilevel"/>
    <w:tmpl w:val="3B20C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978867">
    <w:abstractNumId w:val="8"/>
  </w:num>
  <w:num w:numId="2" w16cid:durableId="1619602771">
    <w:abstractNumId w:val="0"/>
  </w:num>
  <w:num w:numId="3" w16cid:durableId="857694585">
    <w:abstractNumId w:val="3"/>
  </w:num>
  <w:num w:numId="4" w16cid:durableId="1654480831">
    <w:abstractNumId w:val="6"/>
  </w:num>
  <w:num w:numId="5" w16cid:durableId="660816891">
    <w:abstractNumId w:val="1"/>
  </w:num>
  <w:num w:numId="6" w16cid:durableId="1444302660">
    <w:abstractNumId w:val="7"/>
  </w:num>
  <w:num w:numId="7" w16cid:durableId="1235510580">
    <w:abstractNumId w:val="4"/>
  </w:num>
  <w:num w:numId="8" w16cid:durableId="1823043089">
    <w:abstractNumId w:val="5"/>
  </w:num>
  <w:num w:numId="9" w16cid:durableId="29853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3A"/>
    <w:rsid w:val="00006B55"/>
    <w:rsid w:val="00041912"/>
    <w:rsid w:val="00046884"/>
    <w:rsid w:val="00047EC9"/>
    <w:rsid w:val="000511B1"/>
    <w:rsid w:val="000519E7"/>
    <w:rsid w:val="00081ED6"/>
    <w:rsid w:val="000917CD"/>
    <w:rsid w:val="000A2009"/>
    <w:rsid w:val="000A7C13"/>
    <w:rsid w:val="000D5F8C"/>
    <w:rsid w:val="000E37F5"/>
    <w:rsid w:val="00127C35"/>
    <w:rsid w:val="0018342D"/>
    <w:rsid w:val="001860FE"/>
    <w:rsid w:val="001A1F0E"/>
    <w:rsid w:val="001A2078"/>
    <w:rsid w:val="001B070E"/>
    <w:rsid w:val="001C195F"/>
    <w:rsid w:val="001D2ABF"/>
    <w:rsid w:val="001E0D9B"/>
    <w:rsid w:val="001E28B7"/>
    <w:rsid w:val="001E3398"/>
    <w:rsid w:val="001F3C10"/>
    <w:rsid w:val="002206A8"/>
    <w:rsid w:val="00242A12"/>
    <w:rsid w:val="00282C05"/>
    <w:rsid w:val="002915C7"/>
    <w:rsid w:val="0029663B"/>
    <w:rsid w:val="002A12CB"/>
    <w:rsid w:val="002D4871"/>
    <w:rsid w:val="002D5CA4"/>
    <w:rsid w:val="002E72AE"/>
    <w:rsid w:val="002F2C75"/>
    <w:rsid w:val="0030534F"/>
    <w:rsid w:val="003148B9"/>
    <w:rsid w:val="003228A0"/>
    <w:rsid w:val="00342176"/>
    <w:rsid w:val="003677B4"/>
    <w:rsid w:val="00376364"/>
    <w:rsid w:val="00391823"/>
    <w:rsid w:val="003B6214"/>
    <w:rsid w:val="003B7673"/>
    <w:rsid w:val="003C39D2"/>
    <w:rsid w:val="003C4A4A"/>
    <w:rsid w:val="003C5B66"/>
    <w:rsid w:val="003E1F2F"/>
    <w:rsid w:val="003E2BBC"/>
    <w:rsid w:val="003E4A4E"/>
    <w:rsid w:val="0040195E"/>
    <w:rsid w:val="00401EB2"/>
    <w:rsid w:val="00423FBF"/>
    <w:rsid w:val="00464C4B"/>
    <w:rsid w:val="0047362B"/>
    <w:rsid w:val="004868AB"/>
    <w:rsid w:val="00492B4D"/>
    <w:rsid w:val="004A132B"/>
    <w:rsid w:val="004A1E3B"/>
    <w:rsid w:val="004A5F5D"/>
    <w:rsid w:val="004B3DFF"/>
    <w:rsid w:val="004B585F"/>
    <w:rsid w:val="004C445E"/>
    <w:rsid w:val="004C6226"/>
    <w:rsid w:val="0050358D"/>
    <w:rsid w:val="00506E06"/>
    <w:rsid w:val="00514BE7"/>
    <w:rsid w:val="00553752"/>
    <w:rsid w:val="00575940"/>
    <w:rsid w:val="00597AB1"/>
    <w:rsid w:val="005B3C12"/>
    <w:rsid w:val="005D7F95"/>
    <w:rsid w:val="005E3ED1"/>
    <w:rsid w:val="00601C10"/>
    <w:rsid w:val="00615BF8"/>
    <w:rsid w:val="00617909"/>
    <w:rsid w:val="00623AFA"/>
    <w:rsid w:val="00625304"/>
    <w:rsid w:val="00652BD6"/>
    <w:rsid w:val="0067068D"/>
    <w:rsid w:val="00683456"/>
    <w:rsid w:val="0068593C"/>
    <w:rsid w:val="0068774B"/>
    <w:rsid w:val="0069679A"/>
    <w:rsid w:val="006B01BF"/>
    <w:rsid w:val="006B4872"/>
    <w:rsid w:val="006D17E7"/>
    <w:rsid w:val="006F5FDE"/>
    <w:rsid w:val="00701B18"/>
    <w:rsid w:val="00711B62"/>
    <w:rsid w:val="00724C6F"/>
    <w:rsid w:val="00731262"/>
    <w:rsid w:val="00735C5C"/>
    <w:rsid w:val="00746A93"/>
    <w:rsid w:val="00784561"/>
    <w:rsid w:val="007C5414"/>
    <w:rsid w:val="007D2147"/>
    <w:rsid w:val="007F4358"/>
    <w:rsid w:val="00830091"/>
    <w:rsid w:val="008363AA"/>
    <w:rsid w:val="00837BFF"/>
    <w:rsid w:val="00837D8B"/>
    <w:rsid w:val="00846D5E"/>
    <w:rsid w:val="0086386D"/>
    <w:rsid w:val="00883316"/>
    <w:rsid w:val="008872F0"/>
    <w:rsid w:val="008A0BA4"/>
    <w:rsid w:val="008B5C4D"/>
    <w:rsid w:val="008B61D0"/>
    <w:rsid w:val="008C25DC"/>
    <w:rsid w:val="008F57AC"/>
    <w:rsid w:val="008F79EE"/>
    <w:rsid w:val="009008E3"/>
    <w:rsid w:val="00900FA2"/>
    <w:rsid w:val="00916090"/>
    <w:rsid w:val="0095259D"/>
    <w:rsid w:val="009562F8"/>
    <w:rsid w:val="00980736"/>
    <w:rsid w:val="00981447"/>
    <w:rsid w:val="00984EDA"/>
    <w:rsid w:val="00994452"/>
    <w:rsid w:val="009A5F8A"/>
    <w:rsid w:val="009C557C"/>
    <w:rsid w:val="009D3EE4"/>
    <w:rsid w:val="009F65ED"/>
    <w:rsid w:val="00A1011A"/>
    <w:rsid w:val="00A13A9B"/>
    <w:rsid w:val="00A67CBB"/>
    <w:rsid w:val="00A72B61"/>
    <w:rsid w:val="00A8741A"/>
    <w:rsid w:val="00A96DE8"/>
    <w:rsid w:val="00AD0605"/>
    <w:rsid w:val="00AD61D2"/>
    <w:rsid w:val="00B14F33"/>
    <w:rsid w:val="00B232CF"/>
    <w:rsid w:val="00B475BC"/>
    <w:rsid w:val="00B51E5B"/>
    <w:rsid w:val="00B5486F"/>
    <w:rsid w:val="00B75868"/>
    <w:rsid w:val="00BA5D81"/>
    <w:rsid w:val="00BB1D3F"/>
    <w:rsid w:val="00BB6015"/>
    <w:rsid w:val="00BD199C"/>
    <w:rsid w:val="00BE7BDF"/>
    <w:rsid w:val="00C100EF"/>
    <w:rsid w:val="00C1043B"/>
    <w:rsid w:val="00C109BC"/>
    <w:rsid w:val="00C22F06"/>
    <w:rsid w:val="00C34702"/>
    <w:rsid w:val="00C37FF9"/>
    <w:rsid w:val="00C4436A"/>
    <w:rsid w:val="00C80D83"/>
    <w:rsid w:val="00C82668"/>
    <w:rsid w:val="00CB15FA"/>
    <w:rsid w:val="00CD344C"/>
    <w:rsid w:val="00D0023F"/>
    <w:rsid w:val="00D30CFE"/>
    <w:rsid w:val="00D40B46"/>
    <w:rsid w:val="00D441CF"/>
    <w:rsid w:val="00D443D8"/>
    <w:rsid w:val="00D83827"/>
    <w:rsid w:val="00D83FBE"/>
    <w:rsid w:val="00D87CD2"/>
    <w:rsid w:val="00D92BB0"/>
    <w:rsid w:val="00DA12BB"/>
    <w:rsid w:val="00DB1EAB"/>
    <w:rsid w:val="00DC50D7"/>
    <w:rsid w:val="00DD5A9C"/>
    <w:rsid w:val="00DE0C69"/>
    <w:rsid w:val="00DE3729"/>
    <w:rsid w:val="00DE48BC"/>
    <w:rsid w:val="00E21BEA"/>
    <w:rsid w:val="00E338E8"/>
    <w:rsid w:val="00E65245"/>
    <w:rsid w:val="00E66747"/>
    <w:rsid w:val="00E74922"/>
    <w:rsid w:val="00EB3050"/>
    <w:rsid w:val="00ED2607"/>
    <w:rsid w:val="00EE6089"/>
    <w:rsid w:val="00F4643A"/>
    <w:rsid w:val="00F76CFE"/>
    <w:rsid w:val="00F97184"/>
    <w:rsid w:val="00FA29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264B"/>
  <w15:chartTrackingRefBased/>
  <w15:docId w15:val="{2BC90135-5821-4A19-B41C-9AD94CC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2"/>
        <w:szCs w:val="22"/>
        <w:lang w:val="en-GB"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D1"/>
  </w:style>
  <w:style w:type="paragraph" w:styleId="Heading1">
    <w:name w:val="heading 1"/>
    <w:basedOn w:val="Normal"/>
    <w:next w:val="Normal"/>
    <w:link w:val="Heading1Char"/>
    <w:uiPriority w:val="9"/>
    <w:qFormat/>
    <w:rsid w:val="00900FA2"/>
    <w:pPr>
      <w:keepNext/>
      <w:keepLines/>
      <w:contextualSpacing/>
      <w:outlineLvl w:val="0"/>
    </w:pPr>
    <w:rPr>
      <w:rFonts w:eastAsiaTheme="majorEastAsia" w:cstheme="majorBidi"/>
      <w:b/>
      <w:color w:val="1F3864" w:themeColor="accent1" w:themeShade="80"/>
      <w:sz w:val="26"/>
      <w:szCs w:val="32"/>
    </w:rPr>
  </w:style>
  <w:style w:type="paragraph" w:styleId="Heading2">
    <w:name w:val="heading 2"/>
    <w:basedOn w:val="Normal"/>
    <w:next w:val="Normal"/>
    <w:link w:val="Heading2Char"/>
    <w:uiPriority w:val="9"/>
    <w:unhideWhenUsed/>
    <w:qFormat/>
    <w:rsid w:val="002F2C75"/>
    <w:pPr>
      <w:keepNext/>
      <w:keepLines/>
      <w:contextualSpacing/>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BB1D3F"/>
    <w:pPr>
      <w:keepNext/>
      <w:keepLines/>
      <w:contextualSpacing/>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6B01BF"/>
    <w:pPr>
      <w:keepNext/>
      <w:keepLines/>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FA2"/>
    <w:rPr>
      <w:rFonts w:eastAsiaTheme="majorEastAsia" w:cstheme="majorBidi"/>
      <w:b/>
      <w:color w:val="1F3864" w:themeColor="accent1" w:themeShade="80"/>
      <w:sz w:val="26"/>
      <w:szCs w:val="32"/>
    </w:rPr>
  </w:style>
  <w:style w:type="paragraph" w:styleId="Title">
    <w:name w:val="Title"/>
    <w:basedOn w:val="Normal"/>
    <w:next w:val="Normal"/>
    <w:link w:val="TitleChar"/>
    <w:uiPriority w:val="10"/>
    <w:qFormat/>
    <w:rsid w:val="003677B4"/>
    <w:pPr>
      <w:contextualSpacing/>
      <w:jc w:val="center"/>
    </w:pPr>
    <w:rPr>
      <w:rFonts w:eastAsiaTheme="majorEastAsia" w:cstheme="majorBidi"/>
      <w:b/>
      <w:kern w:val="28"/>
      <w:szCs w:val="56"/>
    </w:rPr>
  </w:style>
  <w:style w:type="character" w:customStyle="1" w:styleId="TitleChar">
    <w:name w:val="Title Char"/>
    <w:basedOn w:val="DefaultParagraphFont"/>
    <w:link w:val="Title"/>
    <w:uiPriority w:val="10"/>
    <w:rsid w:val="003677B4"/>
    <w:rPr>
      <w:rFonts w:eastAsiaTheme="majorEastAsia" w:cstheme="majorBidi"/>
      <w:b/>
      <w:kern w:val="28"/>
      <w:szCs w:val="56"/>
    </w:rPr>
  </w:style>
  <w:style w:type="paragraph" w:styleId="FootnoteText">
    <w:name w:val="footnote text"/>
    <w:basedOn w:val="Normal"/>
    <w:link w:val="FootnoteTextChar"/>
    <w:uiPriority w:val="99"/>
    <w:semiHidden/>
    <w:unhideWhenUsed/>
    <w:rsid w:val="00376364"/>
    <w:pPr>
      <w:contextualSpacing/>
    </w:pPr>
    <w:rPr>
      <w:szCs w:val="20"/>
    </w:rPr>
  </w:style>
  <w:style w:type="character" w:customStyle="1" w:styleId="FootnoteTextChar">
    <w:name w:val="Footnote Text Char"/>
    <w:basedOn w:val="DefaultParagraphFont"/>
    <w:link w:val="FootnoteText"/>
    <w:uiPriority w:val="99"/>
    <w:semiHidden/>
    <w:rsid w:val="00376364"/>
    <w:rPr>
      <w:szCs w:val="20"/>
    </w:rPr>
  </w:style>
  <w:style w:type="character" w:customStyle="1" w:styleId="Heading2Char">
    <w:name w:val="Heading 2 Char"/>
    <w:basedOn w:val="DefaultParagraphFont"/>
    <w:link w:val="Heading2"/>
    <w:uiPriority w:val="9"/>
    <w:rsid w:val="002F2C75"/>
    <w:rPr>
      <w:rFonts w:eastAsiaTheme="majorEastAsia" w:cstheme="majorBidi"/>
      <w:b/>
      <w:szCs w:val="26"/>
    </w:rPr>
  </w:style>
  <w:style w:type="character" w:customStyle="1" w:styleId="Heading3Char">
    <w:name w:val="Heading 3 Char"/>
    <w:basedOn w:val="DefaultParagraphFont"/>
    <w:link w:val="Heading3"/>
    <w:uiPriority w:val="9"/>
    <w:semiHidden/>
    <w:rsid w:val="00BB1D3F"/>
    <w:rPr>
      <w:rFonts w:eastAsiaTheme="majorEastAsia" w:cstheme="majorBidi"/>
      <w:i/>
      <w:szCs w:val="24"/>
    </w:rPr>
  </w:style>
  <w:style w:type="character" w:customStyle="1" w:styleId="Heading4Char">
    <w:name w:val="Heading 4 Char"/>
    <w:basedOn w:val="DefaultParagraphFont"/>
    <w:link w:val="Heading4"/>
    <w:uiPriority w:val="9"/>
    <w:semiHidden/>
    <w:rsid w:val="006B01BF"/>
    <w:rPr>
      <w:rFonts w:eastAsiaTheme="majorEastAsia" w:cstheme="majorBidi"/>
      <w:i/>
      <w:iCs/>
    </w:rPr>
  </w:style>
  <w:style w:type="paragraph" w:styleId="ListParagraph">
    <w:name w:val="List Paragraph"/>
    <w:basedOn w:val="Normal"/>
    <w:uiPriority w:val="34"/>
    <w:qFormat/>
    <w:rsid w:val="00F4643A"/>
    <w:pPr>
      <w:ind w:left="720"/>
      <w:contextualSpacing/>
    </w:pPr>
  </w:style>
  <w:style w:type="character" w:styleId="Hyperlink">
    <w:name w:val="Hyperlink"/>
    <w:basedOn w:val="DefaultParagraphFont"/>
    <w:uiPriority w:val="99"/>
    <w:unhideWhenUsed/>
    <w:rsid w:val="00575940"/>
    <w:rPr>
      <w:color w:val="0000FF"/>
      <w:u w:val="single"/>
    </w:rPr>
  </w:style>
  <w:style w:type="character" w:styleId="UnresolvedMention">
    <w:name w:val="Unresolved Mention"/>
    <w:basedOn w:val="DefaultParagraphFont"/>
    <w:uiPriority w:val="99"/>
    <w:semiHidden/>
    <w:unhideWhenUsed/>
    <w:rsid w:val="008C25DC"/>
    <w:rPr>
      <w:color w:val="605E5C"/>
      <w:shd w:val="clear" w:color="auto" w:fill="E1DFDD"/>
    </w:rPr>
  </w:style>
  <w:style w:type="table" w:styleId="TableGrid">
    <w:name w:val="Table Grid"/>
    <w:basedOn w:val="TableNormal"/>
    <w:uiPriority w:val="39"/>
    <w:rsid w:val="001A20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59D"/>
    <w:pPr>
      <w:spacing w:line="240" w:lineRule="auto"/>
      <w:jc w:val="left"/>
    </w:pPr>
  </w:style>
  <w:style w:type="character" w:styleId="CommentReference">
    <w:name w:val="annotation reference"/>
    <w:basedOn w:val="DefaultParagraphFont"/>
    <w:uiPriority w:val="99"/>
    <w:semiHidden/>
    <w:unhideWhenUsed/>
    <w:rsid w:val="00BB6015"/>
    <w:rPr>
      <w:sz w:val="16"/>
      <w:szCs w:val="16"/>
    </w:rPr>
  </w:style>
  <w:style w:type="paragraph" w:styleId="CommentText">
    <w:name w:val="annotation text"/>
    <w:basedOn w:val="Normal"/>
    <w:link w:val="CommentTextChar"/>
    <w:uiPriority w:val="99"/>
    <w:unhideWhenUsed/>
    <w:rsid w:val="00BB6015"/>
    <w:pPr>
      <w:spacing w:line="240" w:lineRule="auto"/>
    </w:pPr>
    <w:rPr>
      <w:sz w:val="20"/>
      <w:szCs w:val="20"/>
    </w:rPr>
  </w:style>
  <w:style w:type="character" w:customStyle="1" w:styleId="CommentTextChar">
    <w:name w:val="Comment Text Char"/>
    <w:basedOn w:val="DefaultParagraphFont"/>
    <w:link w:val="CommentText"/>
    <w:uiPriority w:val="99"/>
    <w:rsid w:val="00BB6015"/>
    <w:rPr>
      <w:sz w:val="20"/>
      <w:szCs w:val="20"/>
    </w:rPr>
  </w:style>
  <w:style w:type="paragraph" w:styleId="CommentSubject">
    <w:name w:val="annotation subject"/>
    <w:basedOn w:val="CommentText"/>
    <w:next w:val="CommentText"/>
    <w:link w:val="CommentSubjectChar"/>
    <w:uiPriority w:val="99"/>
    <w:semiHidden/>
    <w:unhideWhenUsed/>
    <w:rsid w:val="00BB6015"/>
    <w:rPr>
      <w:b/>
      <w:bCs/>
    </w:rPr>
  </w:style>
  <w:style w:type="character" w:customStyle="1" w:styleId="CommentSubjectChar">
    <w:name w:val="Comment Subject Char"/>
    <w:basedOn w:val="CommentTextChar"/>
    <w:link w:val="CommentSubject"/>
    <w:uiPriority w:val="99"/>
    <w:semiHidden/>
    <w:rsid w:val="00BB6015"/>
    <w:rPr>
      <w:b/>
      <w:bCs/>
      <w:sz w:val="20"/>
      <w:szCs w:val="20"/>
    </w:rPr>
  </w:style>
  <w:style w:type="paragraph" w:styleId="Header">
    <w:name w:val="header"/>
    <w:basedOn w:val="Normal"/>
    <w:link w:val="HeaderChar"/>
    <w:uiPriority w:val="99"/>
    <w:unhideWhenUsed/>
    <w:rsid w:val="00C22F06"/>
    <w:pPr>
      <w:tabs>
        <w:tab w:val="center" w:pos="4513"/>
        <w:tab w:val="right" w:pos="9026"/>
      </w:tabs>
      <w:spacing w:line="240" w:lineRule="auto"/>
    </w:pPr>
  </w:style>
  <w:style w:type="character" w:customStyle="1" w:styleId="HeaderChar">
    <w:name w:val="Header Char"/>
    <w:basedOn w:val="DefaultParagraphFont"/>
    <w:link w:val="Header"/>
    <w:uiPriority w:val="99"/>
    <w:rsid w:val="00C22F06"/>
  </w:style>
  <w:style w:type="paragraph" w:styleId="Footer">
    <w:name w:val="footer"/>
    <w:basedOn w:val="Normal"/>
    <w:link w:val="FooterChar"/>
    <w:uiPriority w:val="99"/>
    <w:unhideWhenUsed/>
    <w:rsid w:val="00C22F06"/>
    <w:pPr>
      <w:tabs>
        <w:tab w:val="center" w:pos="4513"/>
        <w:tab w:val="right" w:pos="9026"/>
      </w:tabs>
      <w:spacing w:line="240" w:lineRule="auto"/>
    </w:pPr>
  </w:style>
  <w:style w:type="character" w:customStyle="1" w:styleId="FooterChar">
    <w:name w:val="Footer Char"/>
    <w:basedOn w:val="DefaultParagraphFont"/>
    <w:link w:val="Footer"/>
    <w:uiPriority w:val="99"/>
    <w:rsid w:val="00C2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282456">
      <w:bodyDiv w:val="1"/>
      <w:marLeft w:val="0"/>
      <w:marRight w:val="0"/>
      <w:marTop w:val="0"/>
      <w:marBottom w:val="0"/>
      <w:divBdr>
        <w:top w:val="none" w:sz="0" w:space="0" w:color="auto"/>
        <w:left w:val="none" w:sz="0" w:space="0" w:color="auto"/>
        <w:bottom w:val="none" w:sz="0" w:space="0" w:color="auto"/>
        <w:right w:val="none" w:sz="0" w:space="0" w:color="auto"/>
      </w:divBdr>
      <w:divsChild>
        <w:div w:id="187133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ngtonJ3@cardiff.ac.uk" TargetMode="External"/><Relationship Id="rId3" Type="http://schemas.openxmlformats.org/officeDocument/2006/relationships/settings" Target="settings.xml"/><Relationship Id="rId7" Type="http://schemas.openxmlformats.org/officeDocument/2006/relationships/hyperlink" Target="https://slsa.ac.uk/images/slsadownloads/SLSA_Board_2020/SLSA_Equality__Diversity_Policy_-_Conferenc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lsa.ac.uk/images/slsadownloads/SLSA_Board_2020/SLSA_Equality__Diversity_Policy_-_Conferences.pdf" TargetMode="External"/><Relationship Id="rId4" Type="http://schemas.openxmlformats.org/officeDocument/2006/relationships/webSettings" Target="webSettings.xml"/><Relationship Id="rId9" Type="http://schemas.openxmlformats.org/officeDocument/2006/relationships/hyperlink" Target="mailto:admin@sl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Howard</dc:creator>
  <cp:keywords/>
  <dc:description/>
  <cp:lastModifiedBy>Marie Selwood</cp:lastModifiedBy>
  <cp:revision>5</cp:revision>
  <dcterms:created xsi:type="dcterms:W3CDTF">2025-01-28T12:07:00Z</dcterms:created>
  <dcterms:modified xsi:type="dcterms:W3CDTF">2025-01-28T15:00:00Z</dcterms:modified>
</cp:coreProperties>
</file>